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center"/>
        <w:textAlignment w:val="auto"/>
        <w:outlineLvl w:val="9"/>
        <w:rPr>
          <w:rFonts w:hint="eastAsia" w:ascii="宋体" w:hAnsi="宋体" w:eastAsia="宋体" w:cs="宋体"/>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sz w:val="44"/>
          <w:szCs w:val="44"/>
          <w:lang w:val="en-US" w:eastAsia="zh-CN"/>
        </w:rPr>
      </w:pPr>
      <w:bookmarkStart w:id="0" w:name="dispatchname"/>
      <w:r>
        <w:rPr>
          <w:rFonts w:hint="eastAsia" w:ascii="方正小标宋简体" w:hAnsi="方正小标宋简体" w:eastAsia="方正小标宋简体" w:cs="方正小标宋简体"/>
          <w:color w:val="auto"/>
          <w:spacing w:val="0"/>
          <w:sz w:val="44"/>
          <w:szCs w:val="44"/>
          <w:lang w:val="en-US" w:eastAsia="zh-CN"/>
        </w:rPr>
        <w:t>福建省药品再注册申报程序和资料要求</w:t>
      </w:r>
      <w:bookmarkEnd w:id="0"/>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进一步规范</w:t>
      </w:r>
      <w:r>
        <w:rPr>
          <w:rFonts w:hint="eastAsia" w:ascii="仿宋_GB2312" w:hAnsi="仿宋_GB2312" w:eastAsia="仿宋_GB2312" w:cs="仿宋_GB2312"/>
          <w:color w:val="auto"/>
          <w:sz w:val="32"/>
          <w:szCs w:val="32"/>
        </w:rPr>
        <w:t>全省</w:t>
      </w:r>
      <w:r>
        <w:rPr>
          <w:rFonts w:hint="eastAsia" w:ascii="仿宋_GB2312" w:hAnsi="仿宋_GB2312" w:eastAsia="仿宋_GB2312" w:cs="仿宋_GB2312"/>
          <w:color w:val="auto"/>
          <w:sz w:val="32"/>
          <w:szCs w:val="32"/>
          <w:lang w:eastAsia="zh-CN"/>
        </w:rPr>
        <w:t>药品</w:t>
      </w:r>
      <w:r>
        <w:rPr>
          <w:rFonts w:hint="eastAsia" w:ascii="仿宋_GB2312" w:hAnsi="仿宋_GB2312" w:eastAsia="仿宋_GB2312" w:cs="仿宋_GB2312"/>
          <w:color w:val="auto"/>
          <w:sz w:val="32"/>
          <w:szCs w:val="32"/>
        </w:rPr>
        <w:t>再注册工作，根据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国家药监局关于发布境内生产药品再注册申报程序和申报资料要求的通告</w:t>
      </w:r>
      <w:r>
        <w:rPr>
          <w:rFonts w:hint="eastAsia" w:ascii="仿宋_GB2312" w:hAnsi="仿宋_GB2312" w:eastAsia="仿宋_GB2312" w:cs="仿宋_GB2312"/>
          <w:color w:val="auto"/>
          <w:sz w:val="32"/>
          <w:szCs w:val="32"/>
          <w:lang w:eastAsia="zh-CN"/>
        </w:rPr>
        <w:t>》（2024年第38号）</w:t>
      </w:r>
      <w:r>
        <w:rPr>
          <w:rFonts w:hint="eastAsia" w:ascii="仿宋_GB2312" w:hAnsi="仿宋_GB2312" w:cs="仿宋_GB2312"/>
          <w:color w:val="auto"/>
          <w:sz w:val="32"/>
          <w:szCs w:val="32"/>
          <w:lang w:eastAsia="zh-CN"/>
        </w:rPr>
        <w:t>要求</w:t>
      </w:r>
      <w:r>
        <w:rPr>
          <w:rFonts w:hint="eastAsia" w:ascii="仿宋_GB2312" w:hAnsi="仿宋_GB2312" w:eastAsia="仿宋_GB2312" w:cs="仿宋_GB2312"/>
          <w:color w:val="auto"/>
          <w:sz w:val="32"/>
          <w:szCs w:val="32"/>
          <w:lang w:eastAsia="zh-CN"/>
        </w:rPr>
        <w:t>，结</w:t>
      </w:r>
      <w:r>
        <w:rPr>
          <w:rFonts w:hint="eastAsia" w:ascii="仿宋_GB2312" w:hAnsi="仿宋_GB2312" w:cs="仿宋_GB2312"/>
          <w:color w:val="auto"/>
          <w:sz w:val="32"/>
          <w:szCs w:val="32"/>
          <w:lang w:eastAsia="zh-CN"/>
        </w:rPr>
        <w:t>合</w:t>
      </w:r>
      <w:r>
        <w:rPr>
          <w:rFonts w:hint="eastAsia" w:ascii="仿宋_GB2312" w:hAnsi="仿宋_GB2312" w:cs="仿宋_GB2312"/>
          <w:color w:val="auto"/>
          <w:sz w:val="32"/>
          <w:szCs w:val="32"/>
          <w:lang w:val="en-US" w:eastAsia="zh-CN"/>
        </w:rPr>
        <w:t>我省实际情况</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我省药品再注册申报程序和资料要求</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落实国家药监局制定的境内生产药品再注册申报程序和申报资料要求，完善福建省药品再注册工作程序，加强药品再注册工作体系，进一步提升我省药品质量和质量标准，</w:t>
      </w:r>
      <w:r>
        <w:rPr>
          <w:rFonts w:hint="eastAsia" w:ascii="仿宋_GB2312" w:hAnsi="仿宋_GB2312" w:eastAsia="仿宋_GB2312" w:cs="仿宋_GB2312"/>
          <w:color w:val="auto"/>
          <w:sz w:val="32"/>
          <w:szCs w:val="32"/>
        </w:rPr>
        <w:t>确保</w:t>
      </w:r>
      <w:r>
        <w:rPr>
          <w:rFonts w:hint="eastAsia" w:ascii="仿宋_GB2312" w:hAnsi="仿宋_GB2312" w:eastAsia="仿宋_GB2312" w:cs="仿宋_GB2312"/>
          <w:color w:val="auto"/>
          <w:sz w:val="32"/>
          <w:szCs w:val="32"/>
          <w:lang w:eastAsia="zh-CN"/>
        </w:rPr>
        <w:t>药品</w:t>
      </w:r>
      <w:r>
        <w:rPr>
          <w:rFonts w:hint="eastAsia" w:ascii="仿宋_GB2312" w:hAnsi="仿宋_GB2312" w:eastAsia="仿宋_GB2312" w:cs="仿宋_GB2312"/>
          <w:color w:val="auto"/>
          <w:sz w:val="32"/>
          <w:szCs w:val="32"/>
        </w:rPr>
        <w:t>质量稳定可控、使用安全、有效，保障公众用药安全，服务、推动医药产业高质量发展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二</w:t>
      </w:r>
      <w:r>
        <w:rPr>
          <w:rFonts w:hint="eastAsia" w:ascii="CESI黑体-GB2312" w:hAnsi="CESI黑体-GB2312" w:eastAsia="CESI黑体-GB2312" w:cs="CESI黑体-GB2312"/>
          <w:color w:val="auto"/>
          <w:sz w:val="32"/>
          <w:szCs w:val="32"/>
        </w:rPr>
        <w:t>、</w:t>
      </w:r>
      <w:r>
        <w:rPr>
          <w:rFonts w:hint="eastAsia" w:ascii="CESI黑体-GB2312" w:hAnsi="CESI黑体-GB2312" w:eastAsia="CESI黑体-GB2312" w:cs="CESI黑体-GB2312"/>
          <w:color w:val="auto"/>
          <w:sz w:val="32"/>
          <w:szCs w:val="32"/>
          <w:lang w:eastAsia="zh-CN"/>
        </w:rPr>
        <w:t>申报程序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0"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境内生产药品上市许可持有人和化学原料药登记人（以下简称为“持有人”）要在药品批准证明文件有效期届满前12个月至6个月期间，通过国家药品监督管理局（以下简称“国家局”）网上办事大厅（https</w:t>
      </w:r>
      <w:r>
        <w:rPr>
          <w:rFonts w:hint="eastAsia" w:ascii="仿宋_GB2312" w:hAnsi="仿宋_GB2312" w:eastAsia="仿宋_GB2312" w:cs="仿宋_GB2312"/>
          <w:b w:val="0"/>
          <w:bCs w:val="0"/>
          <w:color w:val="auto"/>
          <w:kern w:val="2"/>
          <w:sz w:val="32"/>
          <w:szCs w:val="32"/>
          <w:lang w:val="en-US" w:eastAsia="zh-CN" w:bidi="ar-SA"/>
        </w:rPr>
        <w:t>://zwfw.nmpa.go</w:t>
      </w:r>
      <w:r>
        <w:rPr>
          <w:rFonts w:hint="eastAsia" w:ascii="仿宋_GB2312" w:hAnsi="仿宋_GB2312" w:eastAsia="仿宋_GB2312" w:cs="仿宋_GB2312"/>
          <w:b w:val="0"/>
          <w:bCs w:val="0"/>
          <w:kern w:val="2"/>
          <w:sz w:val="32"/>
          <w:szCs w:val="32"/>
          <w:lang w:val="en-US" w:eastAsia="zh-CN" w:bidi="ar-SA"/>
        </w:rPr>
        <w:t>v.cn）在线提交药品再注册申请，生成药品再注册申请表，并提交符合规定格式要求的药品再注册申报资料。全程使用无纸化办公</w:t>
      </w:r>
      <w:r>
        <w:rPr>
          <w:rFonts w:hint="eastAsia" w:ascii="仿宋_GB2312" w:hAnsi="仿宋_GB2312" w:eastAsia="仿宋_GB2312" w:cs="仿宋_GB2312"/>
          <w:sz w:val="32"/>
          <w:szCs w:val="32"/>
          <w:lang w:val="en-US" w:eastAsia="zh-CN"/>
        </w:rPr>
        <w:t>系统，不再提交纸质资料。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药品再注册申请中不能同时申请药品上市后变更事项。如需要变更的，应当按照药品上市后变更管理的要求另行申报补充申请、备案或者报告。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国家药监局关于发布境内生产药品再注册申报程序和申报资料要求的通告</w:t>
      </w:r>
      <w:r>
        <w:rPr>
          <w:rFonts w:hint="eastAsia" w:ascii="仿宋_GB2312" w:hAnsi="仿宋_GB2312" w:eastAsia="仿宋_GB2312" w:cs="仿宋_GB2312"/>
          <w:sz w:val="32"/>
          <w:szCs w:val="32"/>
          <w:lang w:eastAsia="zh-CN"/>
        </w:rPr>
        <w:t>》（2024年第38号）施行</w:t>
      </w:r>
      <w:r>
        <w:rPr>
          <w:rFonts w:hint="eastAsia" w:ascii="仿宋_GB2312" w:hAnsi="仿宋_GB2312" w:eastAsia="仿宋_GB2312" w:cs="仿宋_GB2312"/>
          <w:color w:val="auto"/>
          <w:sz w:val="32"/>
          <w:szCs w:val="32"/>
          <w:lang w:eastAsia="zh-CN"/>
        </w:rPr>
        <w:t>日期起，</w:t>
      </w:r>
      <w:r>
        <w:rPr>
          <w:rFonts w:hint="eastAsia" w:ascii="仿宋_GB2312" w:hAnsi="仿宋_GB2312" w:eastAsia="仿宋_GB2312" w:cs="仿宋_GB2312"/>
          <w:b w:val="0"/>
          <w:bCs w:val="0"/>
          <w:kern w:val="2"/>
          <w:sz w:val="32"/>
          <w:szCs w:val="32"/>
          <w:lang w:val="en-US" w:eastAsia="zh-CN" w:bidi="ar-SA"/>
        </w:rPr>
        <w:t>药品批准证明文件有效期</w:t>
      </w:r>
      <w:r>
        <w:rPr>
          <w:rFonts w:hint="eastAsia" w:ascii="仿宋_GB2312" w:hAnsi="仿宋_GB2312" w:eastAsia="仿宋_GB2312" w:cs="仿宋_GB2312"/>
          <w:color w:val="auto"/>
          <w:sz w:val="32"/>
          <w:szCs w:val="32"/>
          <w:lang w:eastAsia="zh-CN"/>
        </w:rPr>
        <w:t>不满</w:t>
      </w:r>
      <w:r>
        <w:rPr>
          <w:rFonts w:hint="eastAsia" w:ascii="仿宋_GB2312" w:hAnsi="仿宋_GB2312" w:eastAsia="仿宋_GB2312" w:cs="仿宋_GB2312"/>
          <w:color w:val="auto"/>
          <w:sz w:val="32"/>
          <w:szCs w:val="32"/>
          <w:lang w:val="en-US" w:eastAsia="zh-CN"/>
        </w:rPr>
        <w:t>6个月的，</w:t>
      </w:r>
      <w:r>
        <w:rPr>
          <w:rFonts w:hint="eastAsia" w:ascii="仿宋_GB2312" w:hAnsi="仿宋_GB2312" w:eastAsia="仿宋_GB2312" w:cs="仿宋_GB2312"/>
          <w:b w:val="0"/>
          <w:bCs w:val="0"/>
          <w:kern w:val="2"/>
          <w:sz w:val="32"/>
          <w:szCs w:val="32"/>
          <w:lang w:val="en-US" w:eastAsia="zh-CN" w:bidi="ar-SA"/>
        </w:rPr>
        <w:t>持有人提出</w:t>
      </w:r>
      <w:r>
        <w:rPr>
          <w:rFonts w:hint="eastAsia" w:ascii="仿宋_GB2312" w:hAnsi="仿宋_GB2312" w:eastAsia="仿宋_GB2312" w:cs="仿宋_GB2312"/>
          <w:color w:val="auto"/>
          <w:sz w:val="32"/>
          <w:szCs w:val="32"/>
          <w:lang w:eastAsia="zh-CN"/>
        </w:rPr>
        <w:t>再注册申请的时限按原要求执行。</w:t>
      </w:r>
      <w:r>
        <w:rPr>
          <w:rFonts w:hint="eastAsia" w:ascii="仿宋_GB2312" w:hAnsi="仿宋_GB2312" w:eastAsia="仿宋_GB2312" w:cs="仿宋_GB2312"/>
          <w:b w:val="0"/>
          <w:bCs w:val="0"/>
          <w:kern w:val="2"/>
          <w:sz w:val="32"/>
          <w:szCs w:val="32"/>
          <w:lang w:val="en-US" w:eastAsia="zh-CN" w:bidi="ar-SA"/>
        </w:rPr>
        <w:t>逾期未提出药品再注册申请的，不予再注册，报请国家局注销药品批准证明文件。</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rPr>
          <w:rFonts w:eastAsia="黑体"/>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eastAsia="黑体"/>
          <w:kern w:val="0"/>
          <w:sz w:val="32"/>
          <w:szCs w:val="32"/>
        </w:rPr>
        <w:t>受理</w:t>
      </w:r>
    </w:p>
    <w:p>
      <w:pPr>
        <w:spacing w:line="594" w:lineRule="exact"/>
        <w:ind w:firstLine="630" w:firstLineChars="200"/>
        <w:rPr>
          <w:rFonts w:eastAsia="仿宋_GB2312"/>
          <w:kern w:val="0"/>
          <w:sz w:val="32"/>
          <w:szCs w:val="32"/>
        </w:rPr>
      </w:pPr>
      <w:r>
        <w:rPr>
          <w:rFonts w:hint="eastAsia" w:ascii="仿宋_GB2312" w:hAnsi="仿宋_GB2312" w:eastAsia="仿宋_GB2312" w:cs="仿宋_GB2312"/>
          <w:color w:val="auto"/>
          <w:sz w:val="32"/>
          <w:szCs w:val="32"/>
          <w:lang w:eastAsia="zh-CN"/>
        </w:rPr>
        <w:t>省药监局</w:t>
      </w:r>
      <w:r>
        <w:rPr>
          <w:rFonts w:hint="eastAsia" w:eastAsia="仿宋_GB2312"/>
          <w:kern w:val="0"/>
          <w:sz w:val="32"/>
          <w:szCs w:val="32"/>
        </w:rPr>
        <w:t>5</w:t>
      </w:r>
      <w:r>
        <w:rPr>
          <w:rFonts w:eastAsia="仿宋_GB2312"/>
          <w:kern w:val="0"/>
          <w:sz w:val="32"/>
          <w:szCs w:val="32"/>
        </w:rPr>
        <w:t>日内（工作日，下同）对药品再注册申请表和申报资料进行形式审查。药品再注册申请表和申报资料齐全、符合法定形式的，予以受理。药品再注册申请表或者申报资料不符合要求的，在</w:t>
      </w:r>
      <w:r>
        <w:rPr>
          <w:rFonts w:hint="eastAsia" w:eastAsia="仿宋_GB2312"/>
          <w:kern w:val="0"/>
          <w:sz w:val="32"/>
          <w:szCs w:val="32"/>
        </w:rPr>
        <w:t>5</w:t>
      </w:r>
      <w:r>
        <w:rPr>
          <w:rFonts w:eastAsia="仿宋_GB2312"/>
          <w:kern w:val="0"/>
          <w:sz w:val="32"/>
          <w:szCs w:val="32"/>
        </w:rPr>
        <w:t>日内一次性告知申请人需要补正的全部内容，出具补正通知书。申请人应当在</w:t>
      </w:r>
      <w:r>
        <w:rPr>
          <w:rFonts w:hint="eastAsia" w:eastAsia="仿宋_GB2312"/>
          <w:kern w:val="0"/>
          <w:sz w:val="32"/>
          <w:szCs w:val="32"/>
        </w:rPr>
        <w:t>30</w:t>
      </w:r>
      <w:r>
        <w:rPr>
          <w:rFonts w:eastAsia="仿宋_GB2312"/>
          <w:kern w:val="0"/>
          <w:sz w:val="32"/>
          <w:szCs w:val="32"/>
        </w:rPr>
        <w:t>日内完成补正资料，补正后资料齐全、符合法定形式的，予以受理；补正后仍不符合要求的，不予受理。申请人无正当理由逾期不补正的，视为放弃申请。</w:t>
      </w:r>
      <w:r>
        <w:rPr>
          <w:rFonts w:hint="eastAsia" w:ascii="仿宋_GB2312" w:hAnsi="仿宋_GB2312" w:eastAsia="仿宋_GB2312" w:cs="仿宋_GB2312"/>
          <w:color w:val="auto"/>
          <w:sz w:val="32"/>
          <w:szCs w:val="32"/>
          <w:lang w:eastAsia="zh-CN"/>
        </w:rPr>
        <w:t>省药监局</w:t>
      </w:r>
      <w:r>
        <w:rPr>
          <w:rFonts w:eastAsia="仿宋_GB2312"/>
          <w:kern w:val="0"/>
          <w:sz w:val="32"/>
          <w:szCs w:val="32"/>
        </w:rPr>
        <w:t>逾期未告知申请人补正的，自收到药品再注册申请表和申报资料之日起即为受理。</w:t>
      </w:r>
    </w:p>
    <w:p>
      <w:pPr>
        <w:spacing w:line="594" w:lineRule="exact"/>
        <w:ind w:firstLine="630" w:firstLineChars="200"/>
        <w:rPr>
          <w:rFonts w:eastAsia="仿宋_GB2312"/>
          <w:kern w:val="0"/>
          <w:sz w:val="32"/>
          <w:szCs w:val="32"/>
        </w:rPr>
      </w:pPr>
      <w:r>
        <w:rPr>
          <w:rFonts w:eastAsia="仿宋_GB2312"/>
          <w:kern w:val="0"/>
          <w:sz w:val="32"/>
          <w:szCs w:val="32"/>
        </w:rPr>
        <w:t>予以受理的，发给《药品/化学原料药再注册申请受理通知书》和《药品/化学原料药再注册审批缴费通知书》，申请人应当在规定时限内缴纳费用；不予受理的，发给《药品/化学原料药再注册申请不予受理告知书》，并说明理由。</w:t>
      </w:r>
    </w:p>
    <w:p>
      <w:pPr>
        <w:spacing w:line="594" w:lineRule="exact"/>
        <w:ind w:firstLine="630" w:firstLineChars="200"/>
        <w:outlineLvl w:val="1"/>
        <w:rPr>
          <w:rFonts w:eastAsia="黑体"/>
          <w:kern w:val="0"/>
          <w:sz w:val="32"/>
          <w:szCs w:val="32"/>
        </w:rPr>
      </w:pPr>
      <w:r>
        <w:rPr>
          <w:rFonts w:hint="eastAsia" w:eastAsia="黑体"/>
          <w:kern w:val="0"/>
          <w:sz w:val="32"/>
          <w:szCs w:val="32"/>
          <w:lang w:eastAsia="zh-CN"/>
        </w:rPr>
        <w:t>（三）</w:t>
      </w:r>
      <w:r>
        <w:rPr>
          <w:rFonts w:eastAsia="黑体"/>
          <w:kern w:val="0"/>
          <w:sz w:val="32"/>
          <w:szCs w:val="32"/>
        </w:rPr>
        <w:t>审查审批</w:t>
      </w:r>
    </w:p>
    <w:p>
      <w:pPr>
        <w:spacing w:line="594" w:lineRule="exact"/>
        <w:ind w:firstLine="630" w:firstLineChars="200"/>
        <w:rPr>
          <w:rFonts w:eastAsia="仿宋_GB2312"/>
          <w:kern w:val="0"/>
          <w:sz w:val="32"/>
          <w:szCs w:val="32"/>
        </w:rPr>
      </w:pPr>
      <w:r>
        <w:rPr>
          <w:rFonts w:eastAsia="仿宋_GB2312"/>
          <w:kern w:val="0"/>
          <w:sz w:val="32"/>
          <w:szCs w:val="32"/>
        </w:rPr>
        <w:t>药品再注册审查审批时限为</w:t>
      </w:r>
      <w:r>
        <w:rPr>
          <w:rFonts w:hint="eastAsia" w:eastAsia="仿宋_GB2312"/>
          <w:kern w:val="0"/>
          <w:sz w:val="32"/>
          <w:szCs w:val="32"/>
        </w:rPr>
        <w:t>120</w:t>
      </w:r>
      <w:r>
        <w:rPr>
          <w:rFonts w:eastAsia="仿宋_GB2312"/>
          <w:kern w:val="0"/>
          <w:sz w:val="32"/>
          <w:szCs w:val="32"/>
        </w:rPr>
        <w:t>日。</w:t>
      </w:r>
      <w:r>
        <w:rPr>
          <w:rFonts w:hint="eastAsia" w:eastAsia="仿宋_GB2312"/>
          <w:kern w:val="0"/>
          <w:sz w:val="32"/>
          <w:szCs w:val="32"/>
          <w:lang w:eastAsia="zh-CN"/>
        </w:rPr>
        <w:t>其中审查</w:t>
      </w:r>
      <w:r>
        <w:rPr>
          <w:rFonts w:eastAsia="仿宋_GB2312"/>
          <w:kern w:val="0"/>
          <w:sz w:val="32"/>
          <w:szCs w:val="32"/>
        </w:rPr>
        <w:t>时限为</w:t>
      </w:r>
      <w:r>
        <w:rPr>
          <w:rFonts w:hint="eastAsia" w:eastAsia="仿宋_GB2312"/>
          <w:kern w:val="0"/>
          <w:sz w:val="32"/>
          <w:szCs w:val="32"/>
        </w:rPr>
        <w:t>1</w:t>
      </w:r>
      <w:r>
        <w:rPr>
          <w:rFonts w:hint="eastAsia" w:eastAsia="仿宋_GB2312"/>
          <w:kern w:val="0"/>
          <w:sz w:val="32"/>
          <w:szCs w:val="32"/>
          <w:lang w:val="en-US" w:eastAsia="zh-CN"/>
        </w:rPr>
        <w:t>0</w:t>
      </w:r>
      <w:r>
        <w:rPr>
          <w:rFonts w:hint="eastAsia" w:eastAsia="仿宋_GB2312"/>
          <w:kern w:val="0"/>
          <w:sz w:val="32"/>
          <w:szCs w:val="32"/>
        </w:rPr>
        <w:t>0</w:t>
      </w:r>
      <w:r>
        <w:rPr>
          <w:rFonts w:eastAsia="仿宋_GB2312"/>
          <w:kern w:val="0"/>
          <w:sz w:val="32"/>
          <w:szCs w:val="32"/>
        </w:rPr>
        <w:t>日，审批时限为</w:t>
      </w:r>
      <w:r>
        <w:rPr>
          <w:rFonts w:hint="eastAsia" w:eastAsia="仿宋_GB2312"/>
          <w:kern w:val="0"/>
          <w:sz w:val="32"/>
          <w:szCs w:val="32"/>
        </w:rPr>
        <w:t>20</w:t>
      </w:r>
      <w:r>
        <w:rPr>
          <w:rFonts w:eastAsia="仿宋_GB2312"/>
          <w:kern w:val="0"/>
          <w:sz w:val="32"/>
          <w:szCs w:val="32"/>
        </w:rPr>
        <w:t>日。</w:t>
      </w:r>
    </w:p>
    <w:p>
      <w:pPr>
        <w:spacing w:line="594" w:lineRule="exact"/>
        <w:ind w:firstLine="630" w:firstLineChars="200"/>
        <w:rPr>
          <w:rFonts w:eastAsia="仿宋_GB2312"/>
          <w:kern w:val="0"/>
          <w:sz w:val="32"/>
          <w:szCs w:val="32"/>
        </w:rPr>
      </w:pPr>
      <w:r>
        <w:rPr>
          <w:rFonts w:eastAsia="仿宋_GB2312"/>
          <w:kern w:val="0"/>
          <w:sz w:val="32"/>
          <w:szCs w:val="32"/>
        </w:rPr>
        <w:t>如需申请人在原申报资料基础上补充新的资料的，</w:t>
      </w:r>
      <w:r>
        <w:rPr>
          <w:rFonts w:hint="eastAsia" w:ascii="仿宋_GB2312" w:hAnsi="仿宋_GB2312" w:eastAsia="仿宋_GB2312" w:cs="仿宋_GB2312"/>
          <w:color w:val="auto"/>
          <w:sz w:val="32"/>
          <w:szCs w:val="32"/>
          <w:lang w:eastAsia="zh-CN"/>
        </w:rPr>
        <w:t>省药监局</w:t>
      </w:r>
      <w:r>
        <w:rPr>
          <w:rFonts w:hint="eastAsia" w:eastAsia="仿宋_GB2312"/>
          <w:kern w:val="0"/>
          <w:sz w:val="32"/>
          <w:szCs w:val="32"/>
          <w:lang w:eastAsia="zh-CN"/>
        </w:rPr>
        <w:t>将</w:t>
      </w:r>
      <w:r>
        <w:rPr>
          <w:rFonts w:eastAsia="仿宋_GB2312"/>
          <w:kern w:val="0"/>
          <w:sz w:val="32"/>
          <w:szCs w:val="32"/>
        </w:rPr>
        <w:t>提出一次补充资料要求，列明全部问题并以书面方式通知申请人。申请人应当在</w:t>
      </w:r>
      <w:r>
        <w:rPr>
          <w:rFonts w:hint="eastAsia" w:eastAsia="仿宋_GB2312"/>
          <w:kern w:val="0"/>
          <w:sz w:val="32"/>
          <w:szCs w:val="32"/>
        </w:rPr>
        <w:t>40</w:t>
      </w:r>
      <w:r>
        <w:rPr>
          <w:rFonts w:eastAsia="仿宋_GB2312"/>
          <w:kern w:val="0"/>
          <w:sz w:val="32"/>
          <w:szCs w:val="32"/>
        </w:rPr>
        <w:t>日内一次性提交全部补充资料，补充资料时间不计入审查时限。收到补充资料后，</w:t>
      </w:r>
      <w:r>
        <w:rPr>
          <w:rFonts w:hint="eastAsia" w:ascii="仿宋_GB2312" w:hAnsi="仿宋_GB2312" w:eastAsia="仿宋_GB2312" w:cs="仿宋_GB2312"/>
          <w:color w:val="auto"/>
          <w:sz w:val="32"/>
          <w:szCs w:val="32"/>
          <w:lang w:eastAsia="zh-CN"/>
        </w:rPr>
        <w:t>省药监局</w:t>
      </w:r>
      <w:r>
        <w:rPr>
          <w:rFonts w:eastAsia="仿宋_GB2312"/>
          <w:kern w:val="0"/>
          <w:sz w:val="32"/>
          <w:szCs w:val="32"/>
        </w:rPr>
        <w:t>继续启动审查。</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pPr>
      <w:r>
        <w:rPr>
          <w:rFonts w:eastAsia="仿宋_GB2312"/>
          <w:kern w:val="0"/>
          <w:sz w:val="32"/>
          <w:szCs w:val="32"/>
        </w:rPr>
        <w:t>药品再注册审查审批期间，</w:t>
      </w:r>
      <w:r>
        <w:rPr>
          <w:rFonts w:hint="eastAsia" w:eastAsia="仿宋_GB2312"/>
          <w:kern w:val="0"/>
          <w:sz w:val="32"/>
          <w:szCs w:val="32"/>
        </w:rPr>
        <w:t>申请人根据法律法规的规定提出中止审评审批的，中止审评审批程序期间所占用的时间不计入工作时限。</w:t>
      </w:r>
      <w:r>
        <w:rPr>
          <w:rFonts w:eastAsia="仿宋_GB2312"/>
          <w:kern w:val="0"/>
          <w:sz w:val="32"/>
          <w:szCs w:val="32"/>
        </w:rPr>
        <w:t>中止的情形消除后，</w:t>
      </w:r>
      <w:r>
        <w:rPr>
          <w:rFonts w:hint="eastAsia" w:eastAsia="仿宋_GB2312"/>
          <w:kern w:val="0"/>
          <w:sz w:val="32"/>
          <w:szCs w:val="32"/>
        </w:rPr>
        <w:t>省级药品监督管理部门</w:t>
      </w:r>
      <w:r>
        <w:rPr>
          <w:rFonts w:eastAsia="仿宋_GB2312"/>
          <w:kern w:val="0"/>
          <w:sz w:val="32"/>
          <w:szCs w:val="32"/>
        </w:rPr>
        <w:t>应当重新启动审查审批。</w:t>
      </w:r>
    </w:p>
    <w:p>
      <w:pPr>
        <w:spacing w:line="594" w:lineRule="exact"/>
        <w:ind w:firstLine="630" w:firstLineChars="200"/>
        <w:rPr>
          <w:rFonts w:eastAsia="仿宋_GB2312"/>
          <w:kern w:val="0"/>
          <w:sz w:val="32"/>
          <w:szCs w:val="32"/>
        </w:rPr>
      </w:pPr>
      <w:r>
        <w:rPr>
          <w:rFonts w:eastAsia="仿宋_GB2312"/>
          <w:kern w:val="0"/>
          <w:sz w:val="32"/>
          <w:szCs w:val="32"/>
        </w:rPr>
        <w:t>药品再注册申请审查期间《药品生产许可证》、药品批准证明文件等发生变更的，申请人应当及时</w:t>
      </w:r>
      <w:r>
        <w:rPr>
          <w:rFonts w:hint="eastAsia" w:eastAsia="仿宋_GB2312"/>
          <w:kern w:val="0"/>
          <w:sz w:val="32"/>
          <w:szCs w:val="32"/>
        </w:rPr>
        <w:t>向省级药品监督管理部门</w:t>
      </w:r>
      <w:r>
        <w:rPr>
          <w:rFonts w:eastAsia="仿宋_GB2312"/>
          <w:kern w:val="0"/>
          <w:sz w:val="32"/>
          <w:szCs w:val="32"/>
        </w:rPr>
        <w:t>更新药品再注册申报资料。</w:t>
      </w:r>
    </w:p>
    <w:p>
      <w:pPr>
        <w:spacing w:line="594" w:lineRule="exact"/>
        <w:ind w:firstLine="630" w:firstLineChars="200"/>
        <w:rPr>
          <w:rFonts w:eastAsia="仿宋_GB2312"/>
          <w:kern w:val="0"/>
          <w:sz w:val="32"/>
          <w:szCs w:val="32"/>
        </w:rPr>
      </w:pPr>
      <w:r>
        <w:rPr>
          <w:rFonts w:eastAsia="仿宋_GB2312"/>
          <w:kern w:val="0"/>
          <w:sz w:val="32"/>
          <w:szCs w:val="32"/>
        </w:rPr>
        <w:t>经审查，符合规定的，予以再注册，发给《药品/化学原料药再注册批准通知书》；不符合规定的，不予再注册并说明理由，出具《药品/化学原料药不予再注册通知书》，告知申请人依法享有的权利及救济途径，报请国家局注销药品批准证明文件。</w:t>
      </w:r>
    </w:p>
    <w:p>
      <w:pPr>
        <w:spacing w:line="594" w:lineRule="exact"/>
        <w:ind w:firstLine="630" w:firstLineChars="200"/>
        <w:outlineLvl w:val="1"/>
        <w:rPr>
          <w:rFonts w:eastAsia="黑体"/>
          <w:kern w:val="0"/>
          <w:sz w:val="32"/>
          <w:szCs w:val="32"/>
        </w:rPr>
      </w:pPr>
      <w:r>
        <w:rPr>
          <w:rFonts w:hint="eastAsia" w:eastAsia="黑体"/>
          <w:kern w:val="0"/>
          <w:sz w:val="32"/>
          <w:szCs w:val="32"/>
          <w:lang w:eastAsia="zh-CN"/>
        </w:rPr>
        <w:t>（四）</w:t>
      </w:r>
      <w:r>
        <w:rPr>
          <w:rFonts w:eastAsia="黑体"/>
          <w:kern w:val="0"/>
          <w:sz w:val="32"/>
          <w:szCs w:val="32"/>
        </w:rPr>
        <w:t>送达</w:t>
      </w:r>
    </w:p>
    <w:p>
      <w:pPr>
        <w:spacing w:line="594" w:lineRule="exact"/>
        <w:ind w:firstLine="630" w:firstLineChars="200"/>
        <w:rPr>
          <w:rFonts w:eastAsia="仿宋_GB2312"/>
          <w:kern w:val="0"/>
          <w:sz w:val="32"/>
          <w:szCs w:val="32"/>
        </w:rPr>
      </w:pPr>
      <w:r>
        <w:rPr>
          <w:rFonts w:hint="eastAsia" w:ascii="仿宋_GB2312" w:hAnsi="仿宋_GB2312" w:eastAsia="仿宋_GB2312" w:cs="仿宋_GB2312"/>
          <w:color w:val="auto"/>
          <w:sz w:val="32"/>
          <w:szCs w:val="32"/>
          <w:lang w:eastAsia="zh-CN"/>
        </w:rPr>
        <w:t>省药监局</w:t>
      </w:r>
      <w:r>
        <w:rPr>
          <w:rFonts w:eastAsia="仿宋_GB2312"/>
          <w:kern w:val="0"/>
          <w:sz w:val="32"/>
          <w:szCs w:val="32"/>
        </w:rPr>
        <w:t>自审批完成之日起</w:t>
      </w:r>
      <w:r>
        <w:rPr>
          <w:rFonts w:hint="eastAsia" w:eastAsia="仿宋_GB2312"/>
          <w:kern w:val="0"/>
          <w:sz w:val="32"/>
          <w:szCs w:val="32"/>
        </w:rPr>
        <w:t>10</w:t>
      </w:r>
      <w:r>
        <w:rPr>
          <w:rFonts w:eastAsia="仿宋_GB2312"/>
          <w:kern w:val="0"/>
          <w:sz w:val="32"/>
          <w:szCs w:val="32"/>
        </w:rPr>
        <w:t>日内，送达《药品/化学原料药再注册批准通知书》《药品/化学原料药不予再注册通知书》，</w:t>
      </w:r>
      <w:r>
        <w:rPr>
          <w:rFonts w:hint="eastAsia" w:eastAsia="仿宋_GB2312"/>
          <w:kern w:val="0"/>
          <w:sz w:val="32"/>
          <w:szCs w:val="32"/>
          <w:lang w:eastAsia="zh-CN"/>
        </w:rPr>
        <w:t>并报送</w:t>
      </w:r>
      <w:r>
        <w:rPr>
          <w:rFonts w:eastAsia="仿宋_GB2312"/>
          <w:kern w:val="0"/>
          <w:sz w:val="32"/>
          <w:szCs w:val="32"/>
        </w:rPr>
        <w:t>国家局同步更新相关信息。</w:t>
      </w:r>
    </w:p>
    <w:p>
      <w:pPr>
        <w:spacing w:line="594" w:lineRule="exact"/>
        <w:ind w:firstLine="630" w:firstLineChars="200"/>
        <w:outlineLvl w:val="1"/>
        <w:rPr>
          <w:rFonts w:eastAsia="黑体"/>
          <w:kern w:val="0"/>
          <w:sz w:val="32"/>
          <w:szCs w:val="32"/>
        </w:rPr>
      </w:pPr>
      <w:r>
        <w:rPr>
          <w:rFonts w:hint="eastAsia" w:eastAsia="黑体"/>
          <w:kern w:val="0"/>
          <w:sz w:val="32"/>
          <w:szCs w:val="32"/>
          <w:lang w:eastAsia="zh-CN"/>
        </w:rPr>
        <w:t>（五）</w:t>
      </w:r>
      <w:r>
        <w:rPr>
          <w:rFonts w:eastAsia="黑体"/>
          <w:kern w:val="0"/>
          <w:sz w:val="32"/>
          <w:szCs w:val="32"/>
        </w:rPr>
        <w:t>终止</w:t>
      </w:r>
    </w:p>
    <w:p>
      <w:pPr>
        <w:spacing w:line="594" w:lineRule="exact"/>
        <w:ind w:firstLine="630" w:firstLineChars="200"/>
        <w:outlineLvl w:val="1"/>
        <w:rPr>
          <w:rFonts w:eastAsia="仿宋_GB2312"/>
          <w:kern w:val="0"/>
          <w:sz w:val="32"/>
          <w:szCs w:val="32"/>
        </w:rPr>
      </w:pPr>
      <w:r>
        <w:rPr>
          <w:rFonts w:eastAsia="仿宋_GB2312"/>
          <w:kern w:val="0"/>
          <w:sz w:val="32"/>
          <w:szCs w:val="32"/>
        </w:rPr>
        <w:t>对于申请人主动提出撤回药品再注册申请、未在规定期限内缴纳费用或者另有规定的其他情形，终止其药品再注册审查审批。</w:t>
      </w:r>
    </w:p>
    <w:p>
      <w:pPr>
        <w:spacing w:line="594" w:lineRule="exact"/>
        <w:ind w:firstLine="630" w:firstLineChars="200"/>
        <w:outlineLvl w:val="1"/>
        <w:rPr>
          <w:rFonts w:eastAsia="黑体"/>
          <w:kern w:val="0"/>
          <w:sz w:val="32"/>
          <w:szCs w:val="32"/>
        </w:rPr>
      </w:pPr>
      <w:r>
        <w:rPr>
          <w:rFonts w:hint="eastAsia" w:eastAsia="黑体"/>
          <w:kern w:val="0"/>
          <w:sz w:val="32"/>
          <w:szCs w:val="32"/>
          <w:lang w:eastAsia="zh-CN"/>
        </w:rPr>
        <w:t>（六）</w:t>
      </w:r>
      <w:r>
        <w:rPr>
          <w:rFonts w:eastAsia="黑体"/>
          <w:kern w:val="0"/>
          <w:sz w:val="32"/>
          <w:szCs w:val="32"/>
        </w:rPr>
        <w:t>其他</w:t>
      </w:r>
    </w:p>
    <w:p>
      <w:pPr>
        <w:spacing w:line="594" w:lineRule="exact"/>
        <w:ind w:firstLine="630" w:firstLineChars="200"/>
        <w:rPr>
          <w:rFonts w:hint="eastAsia" w:ascii="仿宋_GB2312" w:hAnsi="仿宋_GB2312" w:eastAsia="仿宋_GB2312" w:cs="仿宋_GB2312"/>
          <w:color w:val="auto"/>
          <w:sz w:val="32"/>
          <w:szCs w:val="32"/>
          <w:lang w:eastAsia="zh-CN"/>
        </w:rPr>
      </w:pPr>
      <w:r>
        <w:rPr>
          <w:rFonts w:hint="eastAsia" w:eastAsia="仿宋_GB2312"/>
          <w:kern w:val="0"/>
          <w:sz w:val="32"/>
          <w:szCs w:val="32"/>
          <w:lang w:val="en-US" w:eastAsia="zh-CN"/>
        </w:rPr>
        <w:t>1、</w:t>
      </w:r>
      <w:r>
        <w:rPr>
          <w:rFonts w:hint="eastAsia" w:eastAsia="仿宋_GB2312"/>
          <w:kern w:val="0"/>
          <w:sz w:val="32"/>
          <w:szCs w:val="32"/>
        </w:rPr>
        <w:t>申请人应当履行主体责任，在药品再注册申请时主动说明药品生产状态，加强对</w:t>
      </w:r>
      <w:r>
        <w:rPr>
          <w:rFonts w:eastAsia="仿宋_GB2312"/>
          <w:kern w:val="0"/>
          <w:sz w:val="32"/>
          <w:szCs w:val="32"/>
        </w:rPr>
        <w:t>批准药品上市许可或者前次批准药品再注册至本次提出药品再注册申请期间（以下简称</w:t>
      </w:r>
      <w:r>
        <w:rPr>
          <w:rFonts w:hint="eastAsia" w:eastAsia="仿宋_GB2312"/>
          <w:kern w:val="0"/>
          <w:sz w:val="32"/>
          <w:szCs w:val="32"/>
        </w:rPr>
        <w:t>“</w:t>
      </w:r>
      <w:r>
        <w:rPr>
          <w:rFonts w:eastAsia="仿宋_GB2312"/>
          <w:kern w:val="0"/>
          <w:sz w:val="32"/>
          <w:szCs w:val="32"/>
        </w:rPr>
        <w:t>药品再注册周期</w:t>
      </w:r>
      <w:r>
        <w:rPr>
          <w:rFonts w:hint="eastAsia" w:eastAsia="仿宋_GB2312"/>
          <w:kern w:val="0"/>
          <w:sz w:val="32"/>
          <w:szCs w:val="32"/>
        </w:rPr>
        <w:t>”</w:t>
      </w:r>
      <w:r>
        <w:rPr>
          <w:rFonts w:eastAsia="仿宋_GB2312"/>
          <w:kern w:val="0"/>
          <w:sz w:val="32"/>
          <w:szCs w:val="32"/>
        </w:rPr>
        <w:t>）未开展商业化规</w:t>
      </w:r>
      <w:r>
        <w:rPr>
          <w:rFonts w:eastAsia="仿宋_GB2312"/>
          <w:color w:val="auto"/>
          <w:kern w:val="0"/>
          <w:sz w:val="32"/>
          <w:szCs w:val="32"/>
        </w:rPr>
        <w:t>模生产药品</w:t>
      </w:r>
      <w:r>
        <w:rPr>
          <w:rFonts w:hint="eastAsia" w:eastAsia="仿宋_GB2312"/>
          <w:color w:val="auto"/>
          <w:kern w:val="0"/>
          <w:sz w:val="32"/>
          <w:szCs w:val="32"/>
        </w:rPr>
        <w:t>的管理。申请人应当持续考察药品质量、疗效和不良反应情况，</w:t>
      </w:r>
      <w:r>
        <w:rPr>
          <w:rFonts w:hint="eastAsia" w:eastAsia="仿宋_GB2312"/>
          <w:kern w:val="0"/>
          <w:sz w:val="32"/>
          <w:szCs w:val="32"/>
        </w:rPr>
        <w:t>在恢复生产</w:t>
      </w:r>
      <w:r>
        <w:rPr>
          <w:rFonts w:hint="eastAsia" w:ascii="仿宋_GB2312" w:hAnsi="仿宋_GB2312" w:eastAsia="仿宋_GB2312" w:cs="仿宋_GB2312"/>
          <w:color w:val="auto"/>
          <w:sz w:val="32"/>
          <w:szCs w:val="32"/>
          <w:lang w:eastAsia="zh-CN"/>
        </w:rPr>
        <w:t>前应当对照现行的技术指导原则进行评估和研究，</w:t>
      </w:r>
      <w:r>
        <w:rPr>
          <w:rFonts w:hint="eastAsia" w:ascii="仿宋_GB2312" w:hAnsi="仿宋_GB2312" w:cs="仿宋_GB2312"/>
          <w:color w:val="auto"/>
          <w:sz w:val="32"/>
          <w:szCs w:val="32"/>
          <w:lang w:eastAsia="zh-CN"/>
        </w:rPr>
        <w:t>并按照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已批准再注册药品恢复生产的申请程序及要求</w:t>
      </w:r>
      <w:r>
        <w:rPr>
          <w:rFonts w:hint="eastAsia" w:ascii="仿宋_GB2312" w:hAnsi="仿宋_GB2312" w:eastAsia="仿宋_GB2312" w:cs="仿宋_GB2312"/>
          <w:color w:val="auto"/>
          <w:sz w:val="32"/>
          <w:szCs w:val="32"/>
          <w:lang w:eastAsia="zh-CN"/>
        </w:rPr>
        <w:t>》（闽食药监注〔2014〕</w:t>
      </w:r>
      <w:r>
        <w:rPr>
          <w:rFonts w:hint="eastAsia" w:ascii="仿宋_GB2312" w:hAnsi="仿宋_GB2312" w:cs="仿宋_GB2312"/>
          <w:color w:val="auto"/>
          <w:sz w:val="32"/>
          <w:szCs w:val="32"/>
          <w:lang w:val="en-US" w:eastAsia="zh-CN"/>
        </w:rPr>
        <w:t>81</w:t>
      </w:r>
      <w:r>
        <w:rPr>
          <w:rFonts w:hint="eastAsia" w:ascii="仿宋_GB2312" w:hAnsi="仿宋_GB2312" w:eastAsia="仿宋_GB2312" w:cs="仿宋_GB2312"/>
          <w:color w:val="auto"/>
          <w:sz w:val="32"/>
          <w:szCs w:val="32"/>
          <w:lang w:eastAsia="zh-CN"/>
        </w:rPr>
        <w:t>号）文件</w:t>
      </w:r>
      <w:r>
        <w:rPr>
          <w:rFonts w:hint="eastAsia" w:ascii="仿宋_GB2312" w:hAnsi="仿宋_GB2312" w:cs="仿宋_GB2312"/>
          <w:color w:val="auto"/>
          <w:sz w:val="32"/>
          <w:szCs w:val="32"/>
          <w:lang w:eastAsia="zh-CN"/>
        </w:rPr>
        <w:t>要求</w:t>
      </w:r>
      <w:r>
        <w:rPr>
          <w:rFonts w:hint="eastAsia" w:ascii="仿宋_GB2312" w:hAnsi="仿宋_GB2312" w:eastAsia="仿宋_GB2312" w:cs="仿宋_GB2312"/>
          <w:color w:val="auto"/>
          <w:sz w:val="32"/>
          <w:szCs w:val="32"/>
          <w:lang w:eastAsia="zh-CN"/>
        </w:rPr>
        <w:t>向省药监局提出现场检查、检验申请，现场检查、抽样检验合格的方可上市销售。对于注射剂，申请人还应当将后续两批样品送药品检验机构检验，样品检验合格的方可上市销售。</w:t>
      </w:r>
    </w:p>
    <w:p>
      <w:pPr>
        <w:spacing w:line="594" w:lineRule="exact"/>
        <w:ind w:firstLine="630" w:firstLineChars="200"/>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药品再注册批准通知书有效期自原药品批准证明文件有效期届满次日起算；原药品批准证明文件有效期届满后批准再注册的，药品再注册批准通知书有效期自</w:t>
      </w:r>
      <w:r>
        <w:rPr>
          <w:rFonts w:hint="eastAsia" w:eastAsia="仿宋_GB2312"/>
          <w:kern w:val="0"/>
          <w:sz w:val="32"/>
          <w:szCs w:val="32"/>
        </w:rPr>
        <w:t>省级药品监督管理部门</w:t>
      </w:r>
      <w:r>
        <w:rPr>
          <w:rFonts w:eastAsia="仿宋_GB2312"/>
          <w:kern w:val="0"/>
          <w:sz w:val="32"/>
          <w:szCs w:val="32"/>
        </w:rPr>
        <w:t>批准再注册之日起算。</w:t>
      </w:r>
    </w:p>
    <w:p>
      <w:pPr>
        <w:spacing w:line="594" w:lineRule="exact"/>
        <w:ind w:firstLine="630" w:firstLineChars="200"/>
        <w:rPr>
          <w:rFonts w:eastAsia="仿宋_GB2312"/>
          <w:kern w:val="0"/>
          <w:sz w:val="32"/>
          <w:szCs w:val="32"/>
          <w:lang w:bidi="ar"/>
        </w:rPr>
      </w:pPr>
      <w:r>
        <w:rPr>
          <w:rFonts w:hint="eastAsia" w:eastAsia="仿宋_GB2312"/>
          <w:kern w:val="0"/>
          <w:sz w:val="32"/>
          <w:szCs w:val="32"/>
          <w:lang w:val="en-US" w:eastAsia="zh-CN"/>
        </w:rPr>
        <w:t>3、</w:t>
      </w:r>
      <w:r>
        <w:rPr>
          <w:rFonts w:hint="eastAsia" w:ascii="仿宋_GB2312" w:hAnsi="仿宋_GB2312" w:eastAsia="仿宋_GB2312" w:cs="仿宋_GB2312"/>
          <w:color w:val="auto"/>
          <w:sz w:val="32"/>
          <w:szCs w:val="32"/>
          <w:lang w:eastAsia="zh-CN"/>
        </w:rPr>
        <w:t>本通告自202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月1日起施行</w:t>
      </w:r>
      <w:r>
        <w:rPr>
          <w:rFonts w:hint="eastAsia" w:ascii="仿宋_GB2312" w:hAnsi="仿宋_GB2312" w:eastAsia="仿宋_GB2312" w:cs="仿宋_GB2312"/>
          <w:color w:val="auto"/>
          <w:sz w:val="32"/>
          <w:szCs w:val="32"/>
          <w:lang w:val="en-US" w:eastAsia="zh-CN"/>
        </w:rPr>
        <w:t>，</w:t>
      </w:r>
      <w:r>
        <w:rPr>
          <w:rFonts w:eastAsia="仿宋_GB2312"/>
          <w:color w:val="auto"/>
          <w:kern w:val="0"/>
          <w:sz w:val="32"/>
          <w:szCs w:val="32"/>
        </w:rPr>
        <w:t>其他未尽事</w:t>
      </w:r>
      <w:r>
        <w:rPr>
          <w:rFonts w:hint="eastAsia" w:eastAsia="仿宋_GB2312"/>
          <w:color w:val="auto"/>
          <w:kern w:val="0"/>
          <w:sz w:val="32"/>
          <w:szCs w:val="32"/>
        </w:rPr>
        <w:t>项</w:t>
      </w:r>
      <w:r>
        <w:rPr>
          <w:rFonts w:eastAsia="仿宋_GB2312"/>
          <w:color w:val="auto"/>
          <w:kern w:val="0"/>
          <w:sz w:val="32"/>
          <w:szCs w:val="32"/>
        </w:rPr>
        <w:t>按照《药品管理法》《疫苗管理法》《药品管理法实施条例》《药品注册管理办法》及相关规定、技术指导原则等有关文件执行。</w:t>
      </w:r>
      <w:r>
        <w:rPr>
          <w:rFonts w:eastAsia="仿宋_GB2312"/>
          <w:kern w:val="0"/>
          <w:sz w:val="32"/>
          <w:szCs w:val="32"/>
          <w:lang w:bidi="ar"/>
        </w:rPr>
        <w:t>实施前发布的药品再注册相关文件与本公告不一致的，以本公告的规定为准。</w:t>
      </w:r>
    </w:p>
    <w:p>
      <w:pPr>
        <w:spacing w:line="594" w:lineRule="exact"/>
        <w:ind w:firstLine="630" w:firstLineChars="200"/>
        <w:outlineLvl w:val="1"/>
        <w:rPr>
          <w:rFonts w:eastAsia="黑体"/>
          <w:kern w:val="0"/>
          <w:sz w:val="32"/>
          <w:szCs w:val="32"/>
        </w:rPr>
      </w:pPr>
      <w:r>
        <w:rPr>
          <w:rFonts w:hint="eastAsia" w:eastAsia="黑体"/>
          <w:kern w:val="0"/>
          <w:sz w:val="32"/>
          <w:szCs w:val="32"/>
          <w:lang w:val="en-US" w:eastAsia="zh-CN"/>
        </w:rPr>
        <w:t>三、</w:t>
      </w:r>
      <w:r>
        <w:rPr>
          <w:rFonts w:eastAsia="黑体"/>
          <w:kern w:val="0"/>
          <w:sz w:val="32"/>
          <w:szCs w:val="32"/>
        </w:rPr>
        <w:t>申报资料要求</w:t>
      </w:r>
    </w:p>
    <w:p>
      <w:pPr>
        <w:spacing w:line="594" w:lineRule="exact"/>
        <w:ind w:firstLine="678" w:firstLineChars="200"/>
        <w:rPr>
          <w:rFonts w:eastAsia="仿宋_GB2312"/>
          <w:spacing w:val="6"/>
          <w:kern w:val="0"/>
          <w:sz w:val="32"/>
          <w:szCs w:val="32"/>
        </w:rPr>
      </w:pPr>
      <w:r>
        <w:rPr>
          <w:rFonts w:eastAsia="仿宋_GB2312"/>
          <w:spacing w:val="6"/>
          <w:kern w:val="0"/>
          <w:sz w:val="32"/>
          <w:szCs w:val="32"/>
        </w:rPr>
        <w:t>申报资料以电子文件形式提交，应当为未经篡改的电子文件、电子证件或者纸质文件原件的扫描件等。</w:t>
      </w:r>
      <w:r>
        <w:rPr>
          <w:rFonts w:eastAsia="仿宋_GB2312"/>
          <w:spacing w:val="6"/>
          <w:kern w:val="0"/>
          <w:sz w:val="32"/>
          <w:szCs w:val="32"/>
          <w:lang w:bidi="ar"/>
        </w:rPr>
        <w:t>对申报资料</w:t>
      </w:r>
      <w:r>
        <w:rPr>
          <w:rFonts w:hint="eastAsia" w:eastAsia="仿宋_GB2312"/>
          <w:spacing w:val="6"/>
          <w:kern w:val="0"/>
          <w:sz w:val="32"/>
          <w:szCs w:val="32"/>
          <w:lang w:bidi="ar"/>
        </w:rPr>
        <w:t>中化学</w:t>
      </w:r>
      <w:r>
        <w:rPr>
          <w:rFonts w:eastAsia="仿宋_GB2312"/>
          <w:spacing w:val="6"/>
          <w:kern w:val="0"/>
          <w:sz w:val="32"/>
          <w:szCs w:val="32"/>
          <w:lang w:bidi="ar"/>
        </w:rPr>
        <w:t>原料药不适用的项目，该项下填写“不适用”。</w:t>
      </w:r>
    </w:p>
    <w:p>
      <w:pPr>
        <w:spacing w:line="594" w:lineRule="exact"/>
        <w:ind w:firstLine="630" w:firstLineChars="200"/>
        <w:outlineLvl w:val="1"/>
        <w:rPr>
          <w:rFonts w:eastAsia="黑体"/>
          <w:kern w:val="0"/>
          <w:sz w:val="32"/>
          <w:szCs w:val="32"/>
        </w:rPr>
      </w:pPr>
      <w:r>
        <w:rPr>
          <w:rFonts w:hint="eastAsia" w:eastAsia="黑体"/>
          <w:kern w:val="0"/>
          <w:sz w:val="32"/>
          <w:szCs w:val="32"/>
          <w:lang w:eastAsia="zh-CN"/>
        </w:rPr>
        <w:t>（一）</w:t>
      </w:r>
      <w:r>
        <w:rPr>
          <w:rFonts w:eastAsia="黑体"/>
          <w:kern w:val="0"/>
          <w:sz w:val="32"/>
          <w:szCs w:val="32"/>
        </w:rPr>
        <w:t>境内生产药品再注册申请表</w:t>
      </w:r>
    </w:p>
    <w:p>
      <w:pPr>
        <w:spacing w:line="594" w:lineRule="exact"/>
        <w:ind w:firstLine="630" w:firstLineChars="200"/>
        <w:rPr>
          <w:rFonts w:eastAsia="仿宋_GB2312"/>
          <w:kern w:val="0"/>
          <w:sz w:val="32"/>
          <w:szCs w:val="32"/>
        </w:rPr>
      </w:pPr>
      <w:r>
        <w:rPr>
          <w:rFonts w:hint="eastAsia" w:eastAsia="仿宋_GB2312"/>
          <w:kern w:val="0"/>
          <w:sz w:val="32"/>
          <w:szCs w:val="32"/>
          <w:lang w:val="en-US" w:eastAsia="zh-CN"/>
        </w:rPr>
        <w:t>1、</w:t>
      </w:r>
      <w:r>
        <w:rPr>
          <w:rFonts w:eastAsia="仿宋_GB2312"/>
          <w:kern w:val="0"/>
          <w:sz w:val="32"/>
          <w:szCs w:val="32"/>
        </w:rPr>
        <w:t>申请人通过国家局网上办事大厅在线填报，生成电子版药品再注册申请表。</w:t>
      </w:r>
    </w:p>
    <w:p>
      <w:pPr>
        <w:spacing w:line="594" w:lineRule="exact"/>
        <w:ind w:firstLine="630" w:firstLineChars="200"/>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药品再注册申请表应当按照填表说明规范填写，并与《营业执照》《药品生产许可证》、药品批准证明文件相应内容保持一致</w:t>
      </w:r>
      <w:r>
        <w:rPr>
          <w:rFonts w:hint="eastAsia" w:eastAsia="仿宋_GB2312"/>
          <w:kern w:val="0"/>
          <w:sz w:val="32"/>
          <w:szCs w:val="32"/>
        </w:rPr>
        <w:t>。</w:t>
      </w:r>
      <w:r>
        <w:rPr>
          <w:rFonts w:eastAsia="仿宋_GB2312"/>
          <w:kern w:val="0"/>
          <w:sz w:val="32"/>
          <w:szCs w:val="32"/>
        </w:rPr>
        <w:t>每个药品批准文号（化学原料药登记号）填写一份申请表。已申报补充申请但尚未获得批准的，应当按原注册批准内容</w:t>
      </w:r>
      <w:r>
        <w:rPr>
          <w:rFonts w:hint="eastAsia" w:eastAsia="仿宋_GB2312"/>
          <w:kern w:val="0"/>
          <w:sz w:val="32"/>
          <w:szCs w:val="32"/>
        </w:rPr>
        <w:t>填写</w:t>
      </w:r>
      <w:r>
        <w:rPr>
          <w:rFonts w:eastAsia="仿宋_GB2312"/>
          <w:kern w:val="0"/>
          <w:sz w:val="32"/>
          <w:szCs w:val="32"/>
        </w:rPr>
        <w:t>。</w:t>
      </w:r>
    </w:p>
    <w:p>
      <w:pPr>
        <w:spacing w:line="594" w:lineRule="exact"/>
        <w:ind w:firstLine="630" w:firstLineChars="200"/>
        <w:rPr>
          <w:rFonts w:eastAsia="黑体"/>
          <w:b/>
          <w:bCs/>
          <w:kern w:val="0"/>
          <w:sz w:val="32"/>
          <w:szCs w:val="32"/>
        </w:rPr>
      </w:pPr>
      <w:r>
        <w:rPr>
          <w:rFonts w:hint="eastAsia" w:eastAsia="黑体"/>
          <w:kern w:val="0"/>
          <w:sz w:val="32"/>
          <w:szCs w:val="32"/>
          <w:lang w:eastAsia="zh-CN"/>
        </w:rPr>
        <w:t>（二）</w:t>
      </w:r>
      <w:r>
        <w:rPr>
          <w:rFonts w:eastAsia="黑体"/>
          <w:kern w:val="0"/>
          <w:sz w:val="32"/>
          <w:szCs w:val="32"/>
        </w:rPr>
        <w:t>证明性文件及相关资料</w:t>
      </w:r>
    </w:p>
    <w:p>
      <w:pPr>
        <w:spacing w:line="594" w:lineRule="exact"/>
        <w:ind w:firstLine="630" w:firstLineChars="200"/>
        <w:rPr>
          <w:rFonts w:eastAsia="仿宋_GB2312"/>
          <w:bCs/>
          <w:kern w:val="0"/>
          <w:sz w:val="32"/>
          <w:szCs w:val="32"/>
        </w:rPr>
      </w:pPr>
      <w:r>
        <w:rPr>
          <w:rFonts w:hint="eastAsia" w:eastAsia="仿宋_GB2312"/>
          <w:bCs/>
          <w:kern w:val="0"/>
          <w:sz w:val="32"/>
          <w:szCs w:val="32"/>
          <w:lang w:val="en-US" w:eastAsia="zh-CN"/>
        </w:rPr>
        <w:t>1、</w:t>
      </w:r>
      <w:r>
        <w:rPr>
          <w:rFonts w:eastAsia="仿宋_GB2312"/>
          <w:bCs/>
          <w:kern w:val="0"/>
          <w:sz w:val="32"/>
          <w:szCs w:val="32"/>
        </w:rPr>
        <w:t>《药品生产许可证》应当在有效期内，并有相应的生产范围和生产地址。申请人</w:t>
      </w:r>
      <w:r>
        <w:rPr>
          <w:rFonts w:hint="eastAsia" w:eastAsia="仿宋_GB2312"/>
          <w:bCs/>
          <w:kern w:val="0"/>
          <w:sz w:val="32"/>
          <w:szCs w:val="32"/>
        </w:rPr>
        <w:t>以及</w:t>
      </w:r>
      <w:r>
        <w:rPr>
          <w:rFonts w:eastAsia="仿宋_GB2312"/>
          <w:bCs/>
          <w:kern w:val="0"/>
          <w:sz w:val="32"/>
          <w:szCs w:val="32"/>
        </w:rPr>
        <w:t>受托生产企业</w:t>
      </w:r>
      <w:r>
        <w:rPr>
          <w:rFonts w:hint="eastAsia" w:eastAsia="仿宋_GB2312"/>
          <w:bCs/>
          <w:kern w:val="0"/>
          <w:sz w:val="32"/>
          <w:szCs w:val="32"/>
        </w:rPr>
        <w:t>的</w:t>
      </w:r>
      <w:r>
        <w:rPr>
          <w:rFonts w:eastAsia="仿宋_GB2312"/>
          <w:bCs/>
          <w:kern w:val="0"/>
          <w:sz w:val="32"/>
          <w:szCs w:val="32"/>
        </w:rPr>
        <w:t>《营业执照》《药品生产许可证》、药品批准证明文件</w:t>
      </w:r>
      <w:r>
        <w:rPr>
          <w:rFonts w:hint="default" w:ascii="Times New Roman" w:hAnsi="Times New Roman" w:eastAsia="仿宋_GB2312" w:cs="Times New Roman"/>
          <w:bCs/>
          <w:color w:val="000000"/>
          <w:kern w:val="0"/>
          <w:sz w:val="32"/>
          <w:szCs w:val="32"/>
          <w:highlight w:val="none"/>
          <w:u w:val="none"/>
          <w:lang w:val="en-US" w:eastAsia="zh-CN"/>
        </w:rPr>
        <w:t>（如药品注册批件、再注册批准通知书、质量标准）</w:t>
      </w:r>
      <w:r>
        <w:rPr>
          <w:rFonts w:eastAsia="仿宋_GB2312"/>
          <w:bCs/>
          <w:kern w:val="0"/>
          <w:sz w:val="32"/>
          <w:szCs w:val="32"/>
        </w:rPr>
        <w:t>等。</w:t>
      </w:r>
      <w:r>
        <w:rPr>
          <w:rFonts w:hint="default" w:ascii="Times New Roman" w:hAnsi="Times New Roman" w:eastAsia="仿宋_GB2312" w:cs="Times New Roman"/>
          <w:bCs/>
          <w:color w:val="000000"/>
          <w:kern w:val="0"/>
          <w:sz w:val="32"/>
          <w:szCs w:val="32"/>
          <w:highlight w:val="none"/>
          <w:u w:val="none"/>
          <w:lang w:val="en-US" w:eastAsia="zh-CN"/>
        </w:rPr>
        <w:t>药品质量标准应提供现行质量标准复印件。</w:t>
      </w:r>
    </w:p>
    <w:p>
      <w:pPr>
        <w:spacing w:line="594" w:lineRule="exact"/>
        <w:ind w:firstLine="630" w:firstLineChars="200"/>
        <w:rPr>
          <w:rFonts w:eastAsia="仿宋_GB2312"/>
          <w:kern w:val="0"/>
          <w:sz w:val="32"/>
          <w:szCs w:val="32"/>
        </w:rPr>
      </w:pPr>
      <w:r>
        <w:rPr>
          <w:rFonts w:hint="eastAsia" w:eastAsia="仿宋_GB2312"/>
          <w:bCs/>
          <w:kern w:val="0"/>
          <w:sz w:val="32"/>
          <w:szCs w:val="32"/>
          <w:lang w:val="en-US" w:eastAsia="zh-CN"/>
        </w:rPr>
        <w:t>2、</w:t>
      </w:r>
      <w:r>
        <w:rPr>
          <w:rFonts w:eastAsia="仿宋_GB2312"/>
          <w:kern w:val="0"/>
          <w:sz w:val="32"/>
          <w:szCs w:val="32"/>
        </w:rPr>
        <w:t>提供药品说明书和标签样稿（可以为彩色设计稿）。</w:t>
      </w:r>
    </w:p>
    <w:p>
      <w:pPr>
        <w:spacing w:line="594" w:lineRule="exact"/>
        <w:ind w:firstLine="630" w:firstLineChars="200"/>
        <w:rPr>
          <w:rFonts w:eastAsia="仿宋_GB2312"/>
          <w:sz w:val="32"/>
          <w:szCs w:val="32"/>
        </w:rPr>
      </w:pPr>
      <w:r>
        <w:rPr>
          <w:rFonts w:hint="eastAsia" w:eastAsia="黑体"/>
          <w:kern w:val="0"/>
          <w:sz w:val="32"/>
          <w:szCs w:val="32"/>
          <w:lang w:eastAsia="zh-CN"/>
        </w:rPr>
        <w:t>（三）</w:t>
      </w:r>
      <w:r>
        <w:rPr>
          <w:rFonts w:eastAsia="黑体"/>
          <w:kern w:val="0"/>
          <w:sz w:val="32"/>
          <w:szCs w:val="32"/>
        </w:rPr>
        <w:t>药品上市后评价和不良反应监测情况总结和分析评估情况</w:t>
      </w:r>
    </w:p>
    <w:p>
      <w:pPr>
        <w:spacing w:line="594" w:lineRule="exact"/>
        <w:ind w:firstLine="630" w:firstLineChars="200"/>
        <w:rPr>
          <w:rFonts w:eastAsia="仿宋_GB2312"/>
          <w:kern w:val="0"/>
          <w:sz w:val="32"/>
          <w:szCs w:val="32"/>
        </w:rPr>
      </w:pPr>
      <w:r>
        <w:rPr>
          <w:rFonts w:eastAsia="仿宋_GB2312"/>
          <w:kern w:val="0"/>
          <w:sz w:val="32"/>
          <w:szCs w:val="32"/>
        </w:rPr>
        <w:t>应当分别描述药品再注册周期内开展的药品上市后评价和不良反应监测的简要情况。药品上市后评价情况应当说明开展目的、进展情况和结论性意见等。药品不良反应监测情况应当说明药品再注册周期内临床使用情况及监测到的疑似不</w:t>
      </w:r>
      <w:r>
        <w:rPr>
          <w:rFonts w:eastAsia="仿宋_GB2312"/>
          <w:color w:val="auto"/>
          <w:kern w:val="0"/>
          <w:sz w:val="32"/>
          <w:szCs w:val="32"/>
        </w:rPr>
        <w:t>良反应情况，</w:t>
      </w:r>
      <w:r>
        <w:rPr>
          <w:rFonts w:eastAsia="仿宋_GB2312"/>
          <w:kern w:val="0"/>
          <w:sz w:val="32"/>
          <w:szCs w:val="32"/>
        </w:rPr>
        <w:t>尤其是严重不良反应、非预期不良反应等情况，并说明疑似不良反应与药品的相关性、发生频率、严重程度的分析评价和安全性风险综合评估情况，以及根据评价评估情况采取的风险控制措施。疫苗还应当包括疑似预防接种异常反应报告。</w:t>
      </w:r>
    </w:p>
    <w:p>
      <w:pPr>
        <w:spacing w:line="594" w:lineRule="exact"/>
        <w:ind w:firstLine="630" w:firstLineChars="200"/>
        <w:rPr>
          <w:rFonts w:eastAsia="黑体"/>
          <w:kern w:val="0"/>
          <w:sz w:val="32"/>
          <w:szCs w:val="32"/>
        </w:rPr>
      </w:pPr>
      <w:r>
        <w:rPr>
          <w:rFonts w:hint="eastAsia" w:eastAsia="黑体"/>
          <w:kern w:val="0"/>
          <w:sz w:val="32"/>
          <w:szCs w:val="32"/>
          <w:lang w:eastAsia="zh-CN"/>
        </w:rPr>
        <w:t>（四）</w:t>
      </w:r>
      <w:r>
        <w:rPr>
          <w:rFonts w:eastAsia="黑体"/>
          <w:kern w:val="0"/>
          <w:sz w:val="32"/>
          <w:szCs w:val="32"/>
        </w:rPr>
        <w:t>按照药品批准证明文件和药品监督管理部门要求开展相关工作的情况说明</w:t>
      </w:r>
    </w:p>
    <w:p>
      <w:pPr>
        <w:spacing w:line="594" w:lineRule="exact"/>
        <w:ind w:firstLine="630" w:firstLineChars="200"/>
        <w:rPr>
          <w:rFonts w:eastAsia="仿宋_GB2312"/>
          <w:kern w:val="0"/>
          <w:sz w:val="32"/>
          <w:szCs w:val="32"/>
        </w:rPr>
      </w:pPr>
      <w:r>
        <w:rPr>
          <w:rFonts w:hint="default" w:ascii="Times New Roman" w:hAnsi="Times New Roman" w:eastAsia="仿宋_GB2312" w:cs="Times New Roman"/>
          <w:color w:val="000000"/>
          <w:kern w:val="0"/>
          <w:sz w:val="32"/>
          <w:szCs w:val="32"/>
          <w:highlight w:val="none"/>
          <w:lang w:val="en-US" w:eastAsia="zh-CN"/>
        </w:rPr>
        <w:t>对</w:t>
      </w:r>
      <w:r>
        <w:rPr>
          <w:rFonts w:hint="default" w:ascii="Times New Roman" w:hAnsi="Times New Roman" w:eastAsia="仿宋_GB2312" w:cs="Times New Roman"/>
          <w:kern w:val="0"/>
          <w:sz w:val="32"/>
          <w:szCs w:val="32"/>
        </w:rPr>
        <w:t>下列情形</w:t>
      </w:r>
      <w:r>
        <w:rPr>
          <w:rFonts w:hint="default" w:ascii="Times New Roman" w:hAnsi="Times New Roman" w:eastAsia="仿宋_GB2312" w:cs="Times New Roman"/>
          <w:kern w:val="0"/>
          <w:sz w:val="32"/>
          <w:szCs w:val="32"/>
          <w:lang w:eastAsia="zh-CN"/>
        </w:rPr>
        <w:t>逐条</w:t>
      </w:r>
      <w:r>
        <w:rPr>
          <w:rFonts w:hint="default" w:ascii="Times New Roman" w:hAnsi="Times New Roman" w:eastAsia="仿宋_GB2312" w:cs="Times New Roman"/>
          <w:kern w:val="0"/>
          <w:sz w:val="32"/>
          <w:szCs w:val="32"/>
        </w:rPr>
        <w:t>提供相关工作开展的情况说明，</w:t>
      </w:r>
      <w:r>
        <w:rPr>
          <w:rFonts w:eastAsia="仿宋_GB2312"/>
          <w:kern w:val="0"/>
          <w:sz w:val="32"/>
          <w:szCs w:val="32"/>
        </w:rPr>
        <w:t>如未在规定时限内完成的，应当有合理的理由。情况说明包括但不限于工作要求、工作进展情况、结论性意见及补充申请、备案或者报告情况等。</w:t>
      </w:r>
      <w:r>
        <w:rPr>
          <w:rFonts w:hint="eastAsia" w:eastAsia="仿宋_GB2312"/>
          <w:kern w:val="0"/>
          <w:sz w:val="32"/>
          <w:szCs w:val="32"/>
          <w:lang w:eastAsia="zh-CN"/>
        </w:rPr>
        <w:t>对于本次</w:t>
      </w:r>
      <w:r>
        <w:rPr>
          <w:rFonts w:hint="default" w:eastAsia="仿宋_GB2312"/>
          <w:kern w:val="0"/>
          <w:sz w:val="32"/>
          <w:szCs w:val="32"/>
          <w:lang w:eastAsia="zh-CN"/>
        </w:rPr>
        <w:t>申报品种</w:t>
      </w:r>
      <w:r>
        <w:rPr>
          <w:rFonts w:hint="default" w:eastAsia="仿宋_GB2312"/>
          <w:kern w:val="0"/>
          <w:sz w:val="32"/>
          <w:szCs w:val="32"/>
        </w:rPr>
        <w:t>不适用的</w:t>
      </w:r>
      <w:r>
        <w:rPr>
          <w:rFonts w:hint="default" w:eastAsia="仿宋_GB2312"/>
          <w:kern w:val="0"/>
          <w:sz w:val="32"/>
          <w:szCs w:val="32"/>
          <w:lang w:eastAsia="zh-CN"/>
        </w:rPr>
        <w:t>情形</w:t>
      </w:r>
      <w:r>
        <w:rPr>
          <w:rFonts w:hint="default" w:eastAsia="仿宋_GB2312"/>
          <w:kern w:val="0"/>
          <w:sz w:val="32"/>
          <w:szCs w:val="32"/>
        </w:rPr>
        <w:t>，</w:t>
      </w:r>
      <w:r>
        <w:rPr>
          <w:rFonts w:hint="default" w:eastAsia="仿宋_GB2312"/>
          <w:kern w:val="0"/>
          <w:sz w:val="32"/>
          <w:szCs w:val="32"/>
          <w:lang w:eastAsia="zh-CN"/>
        </w:rPr>
        <w:t>该条情形下说明</w:t>
      </w:r>
      <w:r>
        <w:rPr>
          <w:rFonts w:hint="default" w:eastAsia="仿宋_GB2312"/>
          <w:kern w:val="0"/>
          <w:sz w:val="32"/>
          <w:szCs w:val="32"/>
        </w:rPr>
        <w:t>“不适用”。</w:t>
      </w:r>
    </w:p>
    <w:p>
      <w:pPr>
        <w:spacing w:line="594" w:lineRule="exact"/>
        <w:ind w:firstLine="630" w:firstLineChars="200"/>
        <w:rPr>
          <w:rFonts w:eastAsia="仿宋_GB2312"/>
          <w:kern w:val="0"/>
          <w:sz w:val="32"/>
          <w:szCs w:val="32"/>
        </w:rPr>
      </w:pPr>
      <w:r>
        <w:rPr>
          <w:rFonts w:eastAsia="仿宋_GB2312"/>
          <w:kern w:val="0"/>
          <w:sz w:val="32"/>
          <w:szCs w:val="32"/>
        </w:rPr>
        <w:t>1.药品批准证明文件中要求开展工作的；</w:t>
      </w:r>
    </w:p>
    <w:p>
      <w:pPr>
        <w:spacing w:line="594" w:lineRule="exact"/>
        <w:ind w:firstLine="630" w:firstLineChars="200"/>
        <w:rPr>
          <w:rFonts w:eastAsia="仿宋_GB2312"/>
          <w:kern w:val="0"/>
          <w:sz w:val="32"/>
          <w:szCs w:val="32"/>
        </w:rPr>
      </w:pPr>
      <w:r>
        <w:rPr>
          <w:rFonts w:eastAsia="仿宋_GB2312"/>
          <w:kern w:val="0"/>
          <w:sz w:val="32"/>
          <w:szCs w:val="32"/>
        </w:rPr>
        <w:t>2.国家药品标准、药品质量标准颁布件或者修订件等要求继续完成工作的；</w:t>
      </w:r>
    </w:p>
    <w:p>
      <w:pPr>
        <w:spacing w:line="594" w:lineRule="exact"/>
        <w:ind w:firstLine="630" w:firstLineChars="200"/>
        <w:rPr>
          <w:rFonts w:eastAsia="仿宋_GB2312"/>
          <w:kern w:val="0"/>
          <w:sz w:val="32"/>
          <w:szCs w:val="32"/>
        </w:rPr>
      </w:pPr>
      <w:r>
        <w:rPr>
          <w:rFonts w:eastAsia="仿宋_GB2312"/>
          <w:kern w:val="0"/>
          <w:sz w:val="32"/>
          <w:szCs w:val="32"/>
        </w:rPr>
        <w:t>3.开展中药保护品种相关研究工作的；</w:t>
      </w:r>
    </w:p>
    <w:p>
      <w:pPr>
        <w:spacing w:line="594" w:lineRule="exact"/>
        <w:ind w:firstLine="630" w:firstLineChars="200"/>
        <w:rPr>
          <w:rFonts w:eastAsia="仿宋_GB2312"/>
          <w:kern w:val="0"/>
          <w:sz w:val="32"/>
          <w:szCs w:val="32"/>
        </w:rPr>
      </w:pPr>
      <w:r>
        <w:rPr>
          <w:rFonts w:eastAsia="仿宋_GB2312"/>
          <w:kern w:val="0"/>
          <w:sz w:val="32"/>
          <w:szCs w:val="32"/>
        </w:rPr>
        <w:t>4.开展试行标准转正相关研究工作的；</w:t>
      </w:r>
    </w:p>
    <w:p>
      <w:pPr>
        <w:spacing w:line="594" w:lineRule="exact"/>
        <w:ind w:firstLine="630" w:firstLineChars="200"/>
        <w:rPr>
          <w:rFonts w:eastAsia="仿宋_GB2312"/>
          <w:kern w:val="0"/>
          <w:sz w:val="32"/>
          <w:szCs w:val="32"/>
        </w:rPr>
      </w:pPr>
      <w:r>
        <w:rPr>
          <w:rFonts w:eastAsia="仿宋_GB2312"/>
          <w:kern w:val="0"/>
          <w:sz w:val="32"/>
          <w:szCs w:val="32"/>
        </w:rPr>
        <w:t>5.开展仿制药质量和疗效</w:t>
      </w:r>
      <w:r>
        <w:rPr>
          <w:rFonts w:eastAsia="仿宋_GB2312"/>
          <w:kern w:val="0"/>
          <w:sz w:val="32"/>
          <w:szCs w:val="32"/>
          <w:lang w:bidi="ar"/>
        </w:rPr>
        <w:t>一致性评价工作的；</w:t>
      </w:r>
    </w:p>
    <w:p>
      <w:pPr>
        <w:spacing w:line="594" w:lineRule="exact"/>
        <w:ind w:firstLine="630" w:firstLineChars="200"/>
        <w:rPr>
          <w:rFonts w:eastAsia="仿宋_GB2312"/>
          <w:kern w:val="0"/>
          <w:sz w:val="32"/>
          <w:szCs w:val="32"/>
        </w:rPr>
      </w:pPr>
      <w:r>
        <w:rPr>
          <w:rFonts w:eastAsia="仿宋_GB2312"/>
          <w:kern w:val="0"/>
          <w:sz w:val="32"/>
          <w:szCs w:val="32"/>
        </w:rPr>
        <w:t>6.药品监督管理部门要求开展相关工作的。</w:t>
      </w:r>
    </w:p>
    <w:p>
      <w:pPr>
        <w:spacing w:line="594" w:lineRule="exact"/>
        <w:ind w:firstLine="630" w:firstLineChars="200"/>
        <w:rPr>
          <w:rFonts w:eastAsia="黑体"/>
          <w:kern w:val="0"/>
          <w:sz w:val="32"/>
          <w:szCs w:val="32"/>
        </w:rPr>
      </w:pPr>
      <w:r>
        <w:rPr>
          <w:rFonts w:hint="eastAsia" w:eastAsia="黑体"/>
          <w:kern w:val="0"/>
          <w:sz w:val="32"/>
          <w:szCs w:val="32"/>
          <w:lang w:eastAsia="zh-CN"/>
        </w:rPr>
        <w:t>（五）</w:t>
      </w:r>
      <w:r>
        <w:rPr>
          <w:rFonts w:eastAsia="黑体"/>
          <w:kern w:val="0"/>
          <w:sz w:val="32"/>
          <w:szCs w:val="32"/>
        </w:rPr>
        <w:t>药品批准证明文件及其附件载明信息变化情况</w:t>
      </w:r>
    </w:p>
    <w:p>
      <w:pPr>
        <w:spacing w:line="594" w:lineRule="exact"/>
        <w:ind w:firstLine="630" w:firstLineChars="200"/>
        <w:rPr>
          <w:rFonts w:eastAsia="仿宋_GB2312"/>
          <w:kern w:val="0"/>
          <w:sz w:val="32"/>
          <w:szCs w:val="32"/>
        </w:rPr>
      </w:pPr>
      <w:r>
        <w:rPr>
          <w:rFonts w:eastAsia="仿宋_GB2312"/>
          <w:kern w:val="0"/>
          <w:sz w:val="32"/>
          <w:szCs w:val="32"/>
        </w:rPr>
        <w:t>提供药品再注册周期内，药品批准证明文件及其附件载明信息变更的详表，详表内容包括变更事项和内容、变更日期、变更管理类别以及审批、备案和报告状态等。已提交补充申请但尚在审评审批阶段以及已完成备案但尚在审查阶段的变更情况也应</w:t>
      </w:r>
      <w:r>
        <w:rPr>
          <w:rFonts w:hint="eastAsia" w:eastAsia="仿宋_GB2312"/>
          <w:kern w:val="0"/>
          <w:sz w:val="32"/>
          <w:szCs w:val="32"/>
        </w:rPr>
        <w:t>当</w:t>
      </w:r>
      <w:r>
        <w:rPr>
          <w:rFonts w:eastAsia="仿宋_GB2312"/>
          <w:kern w:val="0"/>
          <w:sz w:val="32"/>
          <w:szCs w:val="32"/>
        </w:rPr>
        <w:t>填报。</w:t>
      </w:r>
    </w:p>
    <w:p>
      <w:pPr>
        <w:spacing w:line="594" w:lineRule="exact"/>
        <w:ind w:firstLine="630" w:firstLineChars="200"/>
        <w:rPr>
          <w:rFonts w:eastAsia="黑体"/>
          <w:kern w:val="0"/>
          <w:sz w:val="32"/>
          <w:szCs w:val="32"/>
        </w:rPr>
      </w:pPr>
      <w:r>
        <w:rPr>
          <w:rFonts w:hint="eastAsia" w:eastAsia="黑体"/>
          <w:kern w:val="0"/>
          <w:sz w:val="32"/>
          <w:szCs w:val="32"/>
          <w:lang w:eastAsia="zh-CN"/>
        </w:rPr>
        <w:t>（六）</w:t>
      </w:r>
      <w:r>
        <w:rPr>
          <w:rFonts w:eastAsia="黑体"/>
          <w:kern w:val="0"/>
          <w:sz w:val="32"/>
          <w:szCs w:val="32"/>
        </w:rPr>
        <w:t>药品生产、销售、抽检情况总结</w:t>
      </w:r>
    </w:p>
    <w:p>
      <w:pPr>
        <w:spacing w:line="594" w:lineRule="exact"/>
        <w:ind w:firstLine="630" w:firstLineChars="200"/>
        <w:rPr>
          <w:rFonts w:eastAsia="仿宋_GB2312"/>
          <w:kern w:val="0"/>
          <w:sz w:val="32"/>
          <w:szCs w:val="32"/>
        </w:rPr>
      </w:pPr>
      <w:r>
        <w:rPr>
          <w:rFonts w:eastAsia="仿宋_GB2312"/>
          <w:kern w:val="0"/>
          <w:sz w:val="32"/>
          <w:szCs w:val="32"/>
        </w:rPr>
        <w:t>总结药品再注册周期内药品生产、上市销售及被抽检的情况。对抽检不合格的应当提供原因分析、风险评估及采取的措施等情况说明。</w:t>
      </w:r>
    </w:p>
    <w:p>
      <w:pPr>
        <w:spacing w:line="594" w:lineRule="exact"/>
        <w:ind w:firstLine="630" w:firstLineChars="200"/>
        <w:rPr>
          <w:rFonts w:eastAsia="仿宋_GB2312"/>
          <w:kern w:val="0"/>
          <w:sz w:val="32"/>
          <w:szCs w:val="32"/>
        </w:rPr>
      </w:pPr>
      <w:r>
        <w:rPr>
          <w:rFonts w:hint="default" w:ascii="Times New Roman" w:hAnsi="Times New Roman" w:eastAsia="仿宋_GB2312" w:cs="Times New Roman"/>
          <w:kern w:val="0"/>
          <w:sz w:val="32"/>
          <w:szCs w:val="32"/>
          <w:lang w:val="en-US" w:eastAsia="zh-CN"/>
        </w:rPr>
        <w:t>对于药品批准证明文件有效期内有商业化规模生产的品种需提供佐证材料，如：至少一批产品的销售证明材料、法定药品检验部门出具的检验报告书等。如商业化规模生产批次未销售，也未经法定药品检验部门检验，但在</w:t>
      </w:r>
      <w:r>
        <w:rPr>
          <w:rFonts w:hint="default" w:ascii="Times New Roman" w:hAnsi="Times New Roman" w:eastAsia="仿宋_GB2312" w:cs="Times New Roman"/>
          <w:color w:val="auto"/>
          <w:kern w:val="0"/>
          <w:sz w:val="32"/>
          <w:szCs w:val="32"/>
          <w:lang w:val="en-US" w:eastAsia="zh-CN"/>
        </w:rPr>
        <w:t>《药品生产许可证》</w:t>
      </w:r>
      <w:r>
        <w:rPr>
          <w:rFonts w:hint="default" w:ascii="Times New Roman" w:hAnsi="Times New Roman" w:eastAsia="仿宋_GB2312" w:cs="Times New Roman"/>
          <w:kern w:val="0"/>
          <w:sz w:val="32"/>
          <w:szCs w:val="32"/>
          <w:lang w:val="en-US" w:eastAsia="zh-CN"/>
        </w:rPr>
        <w:t>有效期内有生产，申请人能提供企业检验报告、放行审核记录，并说明生产目的和未销售原因的，可视同正常生产。无法提供相关证明材料的视同长期未生产。</w:t>
      </w:r>
    </w:p>
    <w:p>
      <w:pPr>
        <w:spacing w:line="160" w:lineRule="exact"/>
        <w:rPr>
          <w:rFonts w:hint="eastAsia" w:ascii="仿宋_GB2312" w:hAnsi="方正仿宋_GBK"/>
          <w:spacing w:val="0"/>
          <w:lang w:val="en-US" w:eastAsia="zh-CN"/>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720" w:num="1"/>
      <w:titlePg/>
      <w:rtlGutter w:val="0"/>
      <w:docGrid w:type="linesAndChars" w:linePitch="579" w:charSpace="1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0" w:afterLines="0" w:line="240" w:lineRule="atLeast"/>
      <w:jc w:val="both"/>
      <w:textAlignment w:val="baseline"/>
      <w:rPr>
        <w:rStyle w:val="7"/>
        <w:rFonts w:hint="eastAsia" w:ascii="宋体" w:hAnsi="宋体" w:eastAsia="宋体" w:cs="宋体"/>
        <w:sz w:val="28"/>
      </w:rPr>
    </w:pPr>
    <w:r>
      <w:rPr>
        <w:rFonts w:hint="eastAsia" w:ascii="宋体" w:hAnsi="宋体" w:eastAsia="宋体" w:cs="宋体"/>
        <w:sz w:val="28"/>
      </w:rPr>
      <w:fldChar w:fldCharType="begin"/>
    </w:r>
    <w:r>
      <w:rPr>
        <w:rStyle w:val="7"/>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7"/>
        <w:rFonts w:hint="eastAsia" w:ascii="宋体" w:hAnsi="宋体" w:eastAsia="宋体" w:cs="宋体"/>
        <w:sz w:val="28"/>
      </w:rPr>
      <w:t>- 1 -</w:t>
    </w:r>
    <w:r>
      <w:rPr>
        <w:rFonts w:hint="eastAsia" w:ascii="宋体" w:hAnsi="宋体" w:eastAsia="宋体" w:cs="宋体"/>
        <w:sz w:val="28"/>
      </w:rPr>
      <w:fldChar w:fldCharType="end"/>
    </w:r>
  </w:p>
  <w:p>
    <w:pPr>
      <w:pStyle w:val="3"/>
      <w:wordWrap w:val="0"/>
      <w:ind w:right="308" w:rightChars="100" w:firstLine="360" w:firstLineChars="0"/>
      <w:jc w:val="right"/>
      <w:rPr>
        <w:rFonts w:hint="eastAsia"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0" w:afterLines="0" w:line="240" w:lineRule="atLeast"/>
      <w:jc w:val="both"/>
      <w:textAlignment w:val="baseline"/>
      <w:rPr>
        <w:rStyle w:val="7"/>
        <w:rFonts w:hint="eastAsia" w:ascii="宋体" w:hAnsi="宋体" w:eastAsia="宋体" w:cs="宋体"/>
        <w:sz w:val="28"/>
      </w:rPr>
    </w:pPr>
    <w:r>
      <w:rPr>
        <w:rFonts w:hint="eastAsia" w:ascii="宋体" w:hAnsi="宋体" w:eastAsia="宋体" w:cs="宋体"/>
        <w:sz w:val="28"/>
      </w:rPr>
      <w:fldChar w:fldCharType="begin"/>
    </w:r>
    <w:r>
      <w:rPr>
        <w:rStyle w:val="7"/>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7"/>
        <w:rFonts w:hint="eastAsia" w:ascii="宋体" w:hAnsi="宋体" w:eastAsia="宋体" w:cs="宋体"/>
        <w:sz w:val="28"/>
      </w:rPr>
      <w:t>- 1 -</w:t>
    </w:r>
    <w:r>
      <w:rPr>
        <w:rFonts w:hint="eastAsia" w:ascii="宋体" w:hAnsi="宋体" w:eastAsia="宋体" w:cs="宋体"/>
        <w:sz w:val="28"/>
      </w:rPr>
      <w:fldChar w:fldCharType="end"/>
    </w:r>
  </w:p>
  <w:p>
    <w:pPr>
      <w:pStyle w:val="3"/>
      <w:keepNext w:val="0"/>
      <w:keepLines w:val="0"/>
      <w:pageBreakBefore w:val="0"/>
      <w:widowControl w:val="0"/>
      <w:kinsoku/>
      <w:wordWrap/>
      <w:overflowPunct w:val="0"/>
      <w:topLinePunct w:val="0"/>
      <w:autoSpaceDE w:val="0"/>
      <w:autoSpaceDN w:val="0"/>
      <w:bidi w:val="0"/>
      <w:adjustRightInd w:val="0"/>
      <w:snapToGrid/>
      <w:spacing w:line="240" w:lineRule="atLeast"/>
      <w:ind w:left="308" w:leftChars="100" w:right="360" w:rightChars="0" w:firstLine="360" w:firstLineChars="0"/>
      <w:jc w:val="both"/>
      <w:textAlignment w:val="baseline"/>
      <w:outlineLvl w:val="9"/>
      <w:rPr>
        <w:rFonts w:hint="eastAsia" w:ascii="宋体" w:hAnsi="宋体" w:eastAsia="宋体" w:cs="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2422"/>
    <w:multiLevelType w:val="singleLevel"/>
    <w:tmpl w:val="9DFB24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B2A40"/>
    <w:rsid w:val="00E71930"/>
    <w:rsid w:val="102525E0"/>
    <w:rsid w:val="14C34345"/>
    <w:rsid w:val="17912593"/>
    <w:rsid w:val="1C7FFAFC"/>
    <w:rsid w:val="262320E8"/>
    <w:rsid w:val="266B2A40"/>
    <w:rsid w:val="27A9655E"/>
    <w:rsid w:val="2B7F8C1B"/>
    <w:rsid w:val="2BCF090D"/>
    <w:rsid w:val="30B71828"/>
    <w:rsid w:val="3DCB277E"/>
    <w:rsid w:val="5C7FAFF3"/>
    <w:rsid w:val="5E5ECE35"/>
    <w:rsid w:val="5FCFE07D"/>
    <w:rsid w:val="5FDF57EE"/>
    <w:rsid w:val="67F7890B"/>
    <w:rsid w:val="6C5324B9"/>
    <w:rsid w:val="77E65E37"/>
    <w:rsid w:val="7BEC94AA"/>
    <w:rsid w:val="7CF05944"/>
    <w:rsid w:val="7E5FB3B9"/>
    <w:rsid w:val="7FFF8350"/>
    <w:rsid w:val="9FFE65EE"/>
    <w:rsid w:val="B1EF564A"/>
    <w:rsid w:val="B2CFF5F3"/>
    <w:rsid w:val="BFDCC6D3"/>
    <w:rsid w:val="D45FA421"/>
    <w:rsid w:val="E9FFBA9A"/>
    <w:rsid w:val="EED5CB1B"/>
    <w:rsid w:val="EEF663E6"/>
    <w:rsid w:val="FBB97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3348</Words>
  <Characters>3406</Characters>
  <Lines>0</Lines>
  <Paragraphs>0</Paragraphs>
  <TotalTime>34</TotalTime>
  <ScaleCrop>false</ScaleCrop>
  <LinksUpToDate>false</LinksUpToDate>
  <CharactersWithSpaces>3493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2019-03-17T16:46:00Z</dcterms:created>
  <dc:creator>赖巧虹/fjfda</dc:creator>
  <cp:lastModifiedBy>杨臣</cp:lastModifiedBy>
  <cp:lastPrinted>2024-11-20T00:55:00Z</cp:lastPrinted>
  <dcterms:modified xsi:type="dcterms:W3CDTF">2024-11-20T08:24:18Z</dcterms:modified>
  <dc:title>福建省药品监督管理局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35555CA538F6349DFF1D3467AA203D04</vt:lpwstr>
  </property>
</Properties>
</file>