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EF3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 w14:paraId="14A0B47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不符合规定项目的小知识</w:t>
      </w:r>
    </w:p>
    <w:bookmarkEnd w:id="0"/>
    <w:p w14:paraId="350585C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00AE5A78">
      <w:pPr>
        <w:numPr>
          <w:ilvl w:val="0"/>
          <w:numId w:val="1"/>
        </w:numPr>
        <w:overflowPunct w:val="0"/>
        <w:spacing w:line="600" w:lineRule="exact"/>
        <w:ind w:firstLine="619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含量测定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含量测定系指用规定的试验方法测定原料及制剂中有效成分的含量，一般可采用化学、仪器或生物测定方法。</w:t>
      </w:r>
    </w:p>
    <w:p w14:paraId="07229753">
      <w:pPr>
        <w:numPr>
          <w:ilvl w:val="0"/>
          <w:numId w:val="1"/>
        </w:numPr>
        <w:tabs>
          <w:tab w:val="left" w:pos="1302"/>
        </w:tabs>
        <w:spacing w:line="560" w:lineRule="exact"/>
        <w:ind w:left="0" w:leftChars="0" w:firstLine="619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性状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性状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项下记载外观、臭、味、溶解度以及物理常数等，在一定程度上反映药品的质量特性。中药饮片性状项不符合规定，可能涉及药材种属偏差、炮制工艺有瑕疵、储存不当等情形。</w:t>
      </w:r>
    </w:p>
    <w:p w14:paraId="0A841B69">
      <w:pPr>
        <w:numPr>
          <w:ilvl w:val="0"/>
          <w:numId w:val="1"/>
        </w:numPr>
        <w:tabs>
          <w:tab w:val="left" w:pos="1302"/>
        </w:tabs>
        <w:spacing w:line="560" w:lineRule="exact"/>
        <w:ind w:left="0" w:leftChars="0" w:firstLine="619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鉴别（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薄层色谱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</w:rPr>
        <w:t>鉴别项主要用于区分药品特性，其手段包括显微鉴别、光谱鉴别等，薄层色谱法是常用的鉴别方法。</w:t>
      </w:r>
    </w:p>
    <w:p w14:paraId="0D51CE7F">
      <w:pPr>
        <w:tabs>
          <w:tab w:val="left" w:pos="1302"/>
        </w:tabs>
        <w:spacing w:line="560" w:lineRule="exact"/>
        <w:ind w:firstLine="616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E9CC88F">
      <w:pPr>
        <w:rPr>
          <w:rFonts w:ascii="Times New Roman" w:hAnsi="Times New Roman" w:cs="Times New Roman"/>
        </w:rPr>
      </w:pPr>
    </w:p>
    <w:p w14:paraId="5206C58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762AF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A6E6F"/>
    <w:multiLevelType w:val="singleLevel"/>
    <w:tmpl w:val="8A0A6E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2YxYzE2N2Y2ZDJkNjkzZjY2MmIwODAwMDg1YzYifQ=="/>
  </w:docVars>
  <w:rsids>
    <w:rsidRoot w:val="3EE876BF"/>
    <w:rsid w:val="2CEB15C1"/>
    <w:rsid w:val="30912339"/>
    <w:rsid w:val="3EE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792</Characters>
  <Lines>0</Lines>
  <Paragraphs>0</Paragraphs>
  <TotalTime>1</TotalTime>
  <ScaleCrop>false</ScaleCrop>
  <LinksUpToDate>false</LinksUpToDate>
  <CharactersWithSpaces>807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2024-12-13T00:55:00Z</dcterms:created>
  <dc:creator>傅秀麟</dc:creator>
  <cp:lastModifiedBy>李冬</cp:lastModifiedBy>
  <dcterms:modified xsi:type="dcterms:W3CDTF">2024-12-16T07:43:32Z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ED3E4A9114564C5497CB5395A1781B76_13</vt:lpwstr>
  </property>
</Properties>
</file>