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3AE0B6">
      <w:pPr>
        <w:pStyle w:val="2"/>
        <w:keepNext w:val="0"/>
        <w:keepLines w:val="0"/>
        <w:kinsoku/>
        <w:overflowPunct/>
        <w:topLinePunct w:val="0"/>
        <w:autoSpaceDE/>
        <w:autoSpaceDN/>
        <w:bidi w:val="0"/>
        <w:adjustRightInd/>
        <w:snapToGrid w:val="0"/>
        <w:spacing w:before="95" w:beforeLines="30" w:after="95" w:afterLines="30" w:line="560" w:lineRule="exact"/>
        <w:textAlignment w:val="auto"/>
        <w:rPr>
          <w:rFonts w:hint="eastAsia"/>
          <w:sz w:val="28"/>
          <w:szCs w:val="28"/>
          <w:highlight w:val="none"/>
        </w:rPr>
      </w:pPr>
      <w:r>
        <w:rPr>
          <w:rFonts w:hint="eastAsia"/>
          <w:sz w:val="28"/>
          <w:szCs w:val="28"/>
          <w:highlight w:val="none"/>
        </w:rPr>
        <w:t>综合评分法</w:t>
      </w:r>
    </w:p>
    <w:p w14:paraId="4E9CFEF5">
      <w:pPr>
        <w:pStyle w:val="14"/>
        <w:keepNext w:val="0"/>
        <w:keepLines w:val="0"/>
        <w:pageBreakBefore w:val="0"/>
        <w:widowControl/>
        <w:kinsoku/>
        <w:wordWrap/>
        <w:overflowPunct/>
        <w:topLinePunct w:val="0"/>
        <w:autoSpaceDE/>
        <w:autoSpaceDN/>
        <w:bidi w:val="0"/>
        <w:adjustRightInd/>
        <w:snapToGrid w:val="0"/>
        <w:spacing w:before="95" w:beforeLines="30" w:after="95" w:afterLines="30" w:line="540" w:lineRule="exact"/>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一、</w:t>
      </w:r>
      <w:r>
        <w:rPr>
          <w:rFonts w:hint="eastAsia" w:ascii="宋体" w:hAnsi="宋体" w:eastAsia="宋体" w:cs="宋体"/>
          <w:sz w:val="24"/>
          <w:szCs w:val="24"/>
          <w:highlight w:val="none"/>
        </w:rPr>
        <w:t>投标文件满足招标文件全部实质性要求，且按照评审因素的量化指标评审得分（即评标总得分）最高的投标人为中标候选人。</w:t>
      </w:r>
    </w:p>
    <w:p w14:paraId="0A7867AB">
      <w:pPr>
        <w:pStyle w:val="14"/>
        <w:keepNext w:val="0"/>
        <w:keepLines w:val="0"/>
        <w:pageBreakBefore w:val="0"/>
        <w:widowControl/>
        <w:kinsoku/>
        <w:wordWrap/>
        <w:overflowPunct/>
        <w:topLinePunct w:val="0"/>
        <w:autoSpaceDE/>
        <w:autoSpaceDN/>
        <w:bidi w:val="0"/>
        <w:adjustRightInd/>
        <w:snapToGrid w:val="0"/>
        <w:spacing w:before="95" w:beforeLines="30" w:after="95" w:afterLines="30" w:line="540" w:lineRule="exact"/>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二、</w:t>
      </w:r>
      <w:r>
        <w:rPr>
          <w:rFonts w:hint="eastAsia" w:ascii="宋体" w:hAnsi="宋体" w:eastAsia="宋体" w:cs="宋体"/>
          <w:sz w:val="24"/>
          <w:szCs w:val="24"/>
          <w:highlight w:val="none"/>
        </w:rPr>
        <w:t>每个投标人的评标总得分＝价格项</w:t>
      </w:r>
      <w:r>
        <w:rPr>
          <w:rFonts w:hint="eastAsia" w:ascii="宋体" w:hAnsi="宋体" w:eastAsia="宋体" w:cs="宋体"/>
          <w:sz w:val="24"/>
          <w:szCs w:val="24"/>
          <w:highlight w:val="none"/>
          <w:lang w:val="en-US" w:eastAsia="zh-CN"/>
        </w:rPr>
        <w:t>得分+技术项得分+商务项得分</w:t>
      </w:r>
      <w:r>
        <w:rPr>
          <w:rFonts w:hint="eastAsia" w:ascii="宋体" w:hAnsi="宋体" w:eastAsia="宋体" w:cs="宋体"/>
          <w:sz w:val="24"/>
          <w:szCs w:val="24"/>
          <w:highlight w:val="none"/>
        </w:rPr>
        <w:t>。</w:t>
      </w:r>
    </w:p>
    <w:p w14:paraId="1C37B533">
      <w:pPr>
        <w:pStyle w:val="14"/>
        <w:keepNext w:val="0"/>
        <w:keepLines w:val="0"/>
        <w:pageBreakBefore w:val="0"/>
        <w:widowControl/>
        <w:kinsoku/>
        <w:wordWrap/>
        <w:overflowPunct/>
        <w:topLinePunct w:val="0"/>
        <w:autoSpaceDE/>
        <w:autoSpaceDN/>
        <w:bidi w:val="0"/>
        <w:adjustRightInd/>
        <w:snapToGrid w:val="0"/>
        <w:spacing w:before="95" w:beforeLines="30" w:after="95" w:afterLines="30" w:line="540" w:lineRule="exact"/>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三、</w:t>
      </w:r>
      <w:r>
        <w:rPr>
          <w:rFonts w:hint="eastAsia" w:ascii="宋体" w:hAnsi="宋体" w:eastAsia="宋体" w:cs="宋体"/>
          <w:sz w:val="24"/>
          <w:szCs w:val="24"/>
          <w:highlight w:val="none"/>
        </w:rPr>
        <w:t>各项评审因素的设置如下：</w:t>
      </w:r>
    </w:p>
    <w:p w14:paraId="1F7BE762">
      <w:pPr>
        <w:pStyle w:val="14"/>
        <w:keepNext w:val="0"/>
        <w:keepLines w:val="0"/>
        <w:pageBreakBefore w:val="0"/>
        <w:widowControl/>
        <w:kinsoku/>
        <w:wordWrap/>
        <w:overflowPunct/>
        <w:topLinePunct w:val="0"/>
        <w:autoSpaceDE/>
        <w:autoSpaceDN/>
        <w:bidi w:val="0"/>
        <w:adjustRightInd/>
        <w:snapToGrid w:val="0"/>
        <w:spacing w:before="95" w:beforeLines="30" w:after="95" w:afterLines="30" w:line="540" w:lineRule="exact"/>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（一）</w:t>
      </w:r>
      <w:r>
        <w:rPr>
          <w:rFonts w:hint="eastAsia" w:ascii="宋体" w:hAnsi="宋体" w:eastAsia="宋体" w:cs="宋体"/>
          <w:sz w:val="24"/>
          <w:szCs w:val="24"/>
          <w:highlight w:val="none"/>
        </w:rPr>
        <w:t>价格项满分为</w:t>
      </w:r>
      <w:r>
        <w:rPr>
          <w:rFonts w:hint="eastAsia" w:ascii="宋体" w:hAnsi="宋体" w:eastAsia="宋体" w:cs="宋体"/>
          <w:sz w:val="24"/>
          <w:szCs w:val="24"/>
          <w:highlight w:val="none"/>
          <w:lang w:val="en-US" w:eastAsia="zh-CN"/>
        </w:rPr>
        <w:t>10</w:t>
      </w:r>
      <w:r>
        <w:rPr>
          <w:rFonts w:hint="eastAsia" w:ascii="宋体" w:hAnsi="宋体" w:eastAsia="宋体" w:cs="宋体"/>
          <w:sz w:val="24"/>
          <w:szCs w:val="24"/>
          <w:highlight w:val="none"/>
        </w:rPr>
        <w:t>.00分</w:t>
      </w:r>
    </w:p>
    <w:p w14:paraId="5EC939DD">
      <w:pPr>
        <w:pStyle w:val="14"/>
        <w:keepNext w:val="0"/>
        <w:keepLines w:val="0"/>
        <w:pageBreakBefore w:val="0"/>
        <w:widowControl/>
        <w:kinsoku/>
        <w:wordWrap/>
        <w:overflowPunct/>
        <w:topLinePunct w:val="0"/>
        <w:autoSpaceDE/>
        <w:autoSpaceDN/>
        <w:bidi w:val="0"/>
        <w:adjustRightInd/>
        <w:snapToGrid w:val="0"/>
        <w:spacing w:before="95" w:beforeLines="30" w:after="95" w:afterLines="30" w:line="540" w:lineRule="exact"/>
        <w:jc w:val="both"/>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以满足全部招标要求且投标价格最低的报价为评标基准价，其价格得分为满分。其他供应商的价格分统一按下列公式计算：报价得分 = (评标基准价／投标报价) ×10</w:t>
      </w:r>
      <w:r>
        <w:rPr>
          <w:rFonts w:hint="eastAsia" w:ascii="宋体" w:hAnsi="宋体" w:eastAsia="宋体" w:cs="宋体"/>
          <w:sz w:val="24"/>
          <w:szCs w:val="24"/>
          <w:highlight w:val="none"/>
        </w:rPr>
        <w:t>（注：满足招标文件要求且投标价格最低的投标报价为评标基准价。）</w:t>
      </w:r>
      <w:r>
        <w:rPr>
          <w:rFonts w:hint="eastAsia" w:ascii="宋体" w:hAnsi="宋体" w:eastAsia="宋体" w:cs="宋体"/>
          <w:sz w:val="24"/>
          <w:szCs w:val="24"/>
          <w:highlight w:val="none"/>
          <w:lang w:val="en-US" w:eastAsia="zh-CN"/>
        </w:rPr>
        <w:t xml:space="preserve">  </w:t>
      </w:r>
    </w:p>
    <w:p w14:paraId="38767872">
      <w:pPr>
        <w:pStyle w:val="14"/>
        <w:keepNext w:val="0"/>
        <w:keepLines w:val="0"/>
        <w:pageBreakBefore w:val="0"/>
        <w:widowControl/>
        <w:kinsoku/>
        <w:wordWrap/>
        <w:overflowPunct/>
        <w:topLinePunct w:val="0"/>
        <w:autoSpaceDE/>
        <w:autoSpaceDN/>
        <w:bidi w:val="0"/>
        <w:adjustRightInd/>
        <w:snapToGrid w:val="0"/>
        <w:spacing w:before="95" w:beforeLines="30" w:after="95" w:afterLines="30" w:line="540" w:lineRule="exact"/>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（二）</w:t>
      </w:r>
      <w:r>
        <w:rPr>
          <w:rFonts w:hint="eastAsia" w:ascii="宋体" w:hAnsi="宋体" w:eastAsia="宋体" w:cs="宋体"/>
          <w:sz w:val="24"/>
          <w:szCs w:val="24"/>
          <w:highlight w:val="none"/>
        </w:rPr>
        <w:t>技术项满分为</w:t>
      </w:r>
      <w:r>
        <w:rPr>
          <w:rFonts w:hint="eastAsia" w:ascii="宋体" w:hAnsi="宋体" w:eastAsia="宋体" w:cs="宋体"/>
          <w:sz w:val="24"/>
          <w:szCs w:val="24"/>
          <w:highlight w:val="none"/>
          <w:lang w:val="en-US" w:eastAsia="zh-CN"/>
        </w:rPr>
        <w:t>80</w:t>
      </w:r>
      <w:r>
        <w:rPr>
          <w:rFonts w:hint="eastAsia" w:ascii="宋体" w:hAnsi="宋体" w:eastAsia="宋体" w:cs="宋体"/>
          <w:sz w:val="24"/>
          <w:szCs w:val="24"/>
          <w:highlight w:val="none"/>
        </w:rPr>
        <w:t>.00分</w:t>
      </w:r>
    </w:p>
    <w:tbl>
      <w:tblPr>
        <w:tblStyle w:val="11"/>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484"/>
        <w:gridCol w:w="1215"/>
        <w:gridCol w:w="4607"/>
      </w:tblGrid>
      <w:tr w14:paraId="3CD095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2484" w:type="dxa"/>
            <w:vAlign w:val="center"/>
          </w:tcPr>
          <w:p w14:paraId="6AF123E1">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项目</w:t>
            </w:r>
          </w:p>
        </w:tc>
        <w:tc>
          <w:tcPr>
            <w:tcW w:w="1215" w:type="dxa"/>
            <w:vAlign w:val="center"/>
          </w:tcPr>
          <w:p w14:paraId="3E90D20A">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分值</w:t>
            </w:r>
          </w:p>
        </w:tc>
        <w:tc>
          <w:tcPr>
            <w:tcW w:w="4607" w:type="dxa"/>
            <w:vAlign w:val="center"/>
          </w:tcPr>
          <w:p w14:paraId="2D030B8E">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描述</w:t>
            </w:r>
          </w:p>
        </w:tc>
      </w:tr>
      <w:tr w14:paraId="207099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540" w:hRule="atLeast"/>
        </w:trPr>
        <w:tc>
          <w:tcPr>
            <w:tcW w:w="2484" w:type="dxa"/>
            <w:vAlign w:val="center"/>
          </w:tcPr>
          <w:p w14:paraId="3CFEF957">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center"/>
              <w:textAlignment w:val="auto"/>
              <w:rPr>
                <w:rFonts w:hint="eastAsia" w:ascii="仿宋" w:hAnsi="仿宋" w:eastAsia="仿宋" w:cs="仿宋"/>
                <w:color w:val="000000"/>
                <w:szCs w:val="21"/>
              </w:rPr>
            </w:pPr>
            <w:r>
              <w:rPr>
                <w:rFonts w:hint="eastAsia" w:ascii="仿宋" w:hAnsi="仿宋" w:eastAsia="仿宋" w:cs="仿宋"/>
                <w:color w:val="000000"/>
                <w:szCs w:val="21"/>
              </w:rPr>
              <w:t>服务总体方案</w:t>
            </w:r>
          </w:p>
        </w:tc>
        <w:tc>
          <w:tcPr>
            <w:tcW w:w="1215" w:type="dxa"/>
            <w:vAlign w:val="center"/>
          </w:tcPr>
          <w:p w14:paraId="40729D4D">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center"/>
              <w:textAlignment w:val="auto"/>
              <w:rPr>
                <w:rFonts w:hint="eastAsia" w:ascii="仿宋" w:hAnsi="仿宋" w:eastAsia="仿宋" w:cs="仿宋"/>
                <w:color w:val="000000"/>
                <w:szCs w:val="21"/>
              </w:rPr>
            </w:pPr>
            <w:r>
              <w:rPr>
                <w:rFonts w:hint="eastAsia" w:ascii="仿宋" w:hAnsi="仿宋" w:eastAsia="仿宋" w:cs="仿宋"/>
                <w:color w:val="000000"/>
                <w:szCs w:val="21"/>
              </w:rPr>
              <w:t>20</w:t>
            </w:r>
          </w:p>
        </w:tc>
        <w:tc>
          <w:tcPr>
            <w:tcW w:w="4607" w:type="dxa"/>
            <w:vAlign w:val="center"/>
          </w:tcPr>
          <w:p w14:paraId="6CFB54A8">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rPr>
            </w:pPr>
            <w:r>
              <w:rPr>
                <w:rFonts w:hint="eastAsia" w:ascii="仿宋" w:hAnsi="仿宋" w:eastAsia="仿宋" w:cs="仿宋"/>
                <w:color w:val="000000"/>
                <w:szCs w:val="21"/>
              </w:rPr>
              <w:t>根据采购人的服务需求，提出完整、可行、针对性强的项目总体实施方案，内容应包括对本项目的需求理解、服务思路与实施路径、进度安排与阶段成果、质量保障措施以及人员组织与分工。</w:t>
            </w:r>
          </w:p>
          <w:p w14:paraId="67B7F661">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rPr>
            </w:pPr>
            <w:r>
              <w:rPr>
                <w:rFonts w:hint="eastAsia" w:ascii="仿宋" w:hAnsi="仿宋" w:eastAsia="仿宋" w:cs="仿宋"/>
                <w:color w:val="000000"/>
                <w:szCs w:val="21"/>
              </w:rPr>
              <w:t>1．方案完整合理，对本项目需求理解深刻，实施路径清晰可行，进度与成果安排明确，质量与人员保障措施有力，得20分；</w:t>
            </w:r>
          </w:p>
          <w:p w14:paraId="3508F328">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rPr>
            </w:pPr>
            <w:r>
              <w:rPr>
                <w:rFonts w:hint="eastAsia" w:ascii="仿宋" w:hAnsi="仿宋" w:eastAsia="仿宋" w:cs="仿宋"/>
                <w:color w:val="000000"/>
                <w:szCs w:val="21"/>
              </w:rPr>
              <w:t>2．方案较完整，对需求有一定理解，实施路径基本可行，进度与保障措施基本明确，得14分；</w:t>
            </w:r>
          </w:p>
          <w:p w14:paraId="02A0D8B4">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rPr>
            </w:pPr>
            <w:r>
              <w:rPr>
                <w:rFonts w:hint="eastAsia" w:ascii="仿宋" w:hAnsi="仿宋" w:eastAsia="仿宋" w:cs="仿宋"/>
                <w:color w:val="000000"/>
                <w:szCs w:val="21"/>
              </w:rPr>
              <w:t>3．方案存在缺陷，未能完全贴合采购需求，得7分；</w:t>
            </w:r>
          </w:p>
          <w:p w14:paraId="13CAE190">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rPr>
            </w:pPr>
            <w:r>
              <w:rPr>
                <w:rFonts w:hint="eastAsia" w:ascii="仿宋" w:hAnsi="仿宋" w:eastAsia="仿宋" w:cs="仿宋"/>
                <w:color w:val="000000"/>
                <w:szCs w:val="21"/>
              </w:rPr>
              <w:t>4．未提供或严重偏离采购需求，不得分。</w:t>
            </w:r>
          </w:p>
        </w:tc>
      </w:tr>
      <w:tr w14:paraId="6A4594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484" w:type="dxa"/>
            <w:vAlign w:val="center"/>
          </w:tcPr>
          <w:p w14:paraId="66D28550">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center"/>
              <w:textAlignment w:val="auto"/>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扫码识别与信息填充服务</w:t>
            </w:r>
          </w:p>
        </w:tc>
        <w:tc>
          <w:tcPr>
            <w:tcW w:w="1215" w:type="dxa"/>
            <w:vAlign w:val="center"/>
          </w:tcPr>
          <w:p w14:paraId="0BEEF628">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center"/>
              <w:textAlignment w:val="auto"/>
              <w:rPr>
                <w:rFonts w:hint="default"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15</w:t>
            </w:r>
          </w:p>
        </w:tc>
        <w:tc>
          <w:tcPr>
            <w:tcW w:w="4607" w:type="dxa"/>
            <w:vAlign w:val="center"/>
          </w:tcPr>
          <w:p w14:paraId="0A8290B5">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供应商应针对体外诊断试剂产品信息采集提供扫码识别与自动填充技术方案，内容包括但不限于以下两个部分：</w:t>
            </w:r>
          </w:p>
          <w:p w14:paraId="6B88DD98">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一、扫码识别能力（</w:t>
            </w:r>
            <w:r>
              <w:rPr>
                <w:rFonts w:hint="eastAsia" w:ascii="仿宋" w:hAnsi="仿宋" w:eastAsia="仿宋" w:cs="仿宋"/>
                <w:color w:val="000000"/>
                <w:sz w:val="20"/>
                <w:szCs w:val="20"/>
                <w:lang w:val="en-US" w:eastAsia="zh-CN"/>
              </w:rPr>
              <w:t>10</w:t>
            </w:r>
            <w:r>
              <w:rPr>
                <w:rFonts w:hint="eastAsia" w:ascii="仿宋" w:hAnsi="仿宋" w:eastAsia="仿宋" w:cs="仿宋"/>
                <w:color w:val="000000"/>
                <w:sz w:val="20"/>
                <w:szCs w:val="20"/>
              </w:rPr>
              <w:t xml:space="preserve"> 分）</w:t>
            </w:r>
          </w:p>
          <w:p w14:paraId="41B99F9F">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提供移动端扫码服务，支持手机、平板等移动设备摄像头扫描试剂各级包装（大箱、中盒、单支 / 单人份）上的条码 / 二维码，支持相册图片导入识别；对反光、褶皱、污损、低对比度、拍摄角度偏斜等场景具备容错识别能力，同时提供手工录入、补录与修改功能。</w:t>
            </w:r>
          </w:p>
          <w:p w14:paraId="1CCD597E">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 xml:space="preserve">1．全面支持多设备、多码制、多包装层级扫码识别，相册导入功能完善，异常场景容错能力强，识别准确率与响应效率优异，手工补录机制完备，充分保障上报流畅性，得 </w:t>
            </w:r>
            <w:r>
              <w:rPr>
                <w:rFonts w:hint="eastAsia" w:ascii="仿宋" w:hAnsi="仿宋" w:eastAsia="仿宋" w:cs="仿宋"/>
                <w:color w:val="000000"/>
                <w:sz w:val="20"/>
                <w:szCs w:val="20"/>
                <w:lang w:val="en-US" w:eastAsia="zh-CN"/>
              </w:rPr>
              <w:t>10</w:t>
            </w:r>
            <w:r>
              <w:rPr>
                <w:rFonts w:hint="eastAsia" w:ascii="仿宋" w:hAnsi="仿宋" w:eastAsia="仿宋" w:cs="仿宋"/>
                <w:color w:val="000000"/>
                <w:sz w:val="20"/>
                <w:szCs w:val="20"/>
              </w:rPr>
              <w:t xml:space="preserve"> 分；</w:t>
            </w:r>
          </w:p>
          <w:p w14:paraId="7F9A6303">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 xml:space="preserve">2．支持主流设备与码制扫码识别，具备基本容错能力与手工补录功能，可满足常规上报需求，得 </w:t>
            </w:r>
            <w:r>
              <w:rPr>
                <w:rFonts w:hint="eastAsia" w:ascii="仿宋" w:hAnsi="仿宋" w:eastAsia="仿宋" w:cs="仿宋"/>
                <w:color w:val="000000"/>
                <w:sz w:val="20"/>
                <w:szCs w:val="20"/>
                <w:lang w:val="en-US" w:eastAsia="zh-CN"/>
              </w:rPr>
              <w:t>6</w:t>
            </w:r>
            <w:r>
              <w:rPr>
                <w:rFonts w:hint="eastAsia" w:ascii="仿宋" w:hAnsi="仿宋" w:eastAsia="仿宋" w:cs="仿宋"/>
                <w:color w:val="000000"/>
                <w:sz w:val="20"/>
                <w:szCs w:val="20"/>
              </w:rPr>
              <w:t>分；</w:t>
            </w:r>
          </w:p>
          <w:p w14:paraId="7081BEE1">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3．扫码支持场景有限，容错能力一般，异常处理机制不完善，得 2 分；</w:t>
            </w:r>
          </w:p>
          <w:p w14:paraId="7EA2C2D5">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4．未提供或无法满足基本扫码识别需求，不得分。</w:t>
            </w:r>
          </w:p>
          <w:p w14:paraId="0F76FB9A">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二、信息填充与校验（5 分）</w:t>
            </w:r>
          </w:p>
          <w:p w14:paraId="79D0184E">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扫码成功后自动提取产品名称、注册证号、生产企业、批号等关键信息并回填至报告对应栏目，对字段缺失、格式不符或与主数据不一致的情形予以提示，由上报人员确认后提交。</w:t>
            </w:r>
          </w:p>
          <w:p w14:paraId="4B987A91">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1．可自动提取全部核心产品信息并精准回填对应字段，数据校验规则完善，异常提示清晰准确，得 5 分；</w:t>
            </w:r>
          </w:p>
          <w:p w14:paraId="0A6268BE">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2．可提取主要产品信息并完成回填，具备基本数据校验与提示功能，得 3 分；</w:t>
            </w:r>
          </w:p>
          <w:p w14:paraId="411716CD">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3．信息提取字段不全，校验与提示机制缺失，得 1 分；</w:t>
            </w:r>
          </w:p>
          <w:p w14:paraId="78711220">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4．未提供或无法实现自动信息填充，不得分。</w:t>
            </w:r>
          </w:p>
        </w:tc>
      </w:tr>
      <w:tr w14:paraId="1E0215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484" w:type="dxa"/>
            <w:vAlign w:val="center"/>
          </w:tcPr>
          <w:p w14:paraId="1A46F10A">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center"/>
              <w:textAlignment w:val="auto"/>
              <w:rPr>
                <w:rFonts w:hint="eastAsia" w:ascii="仿宋" w:hAnsi="仿宋" w:eastAsia="仿宋" w:cs="仿宋"/>
                <w:color w:val="000000"/>
                <w:szCs w:val="21"/>
                <w:lang w:eastAsia="zh-CN"/>
              </w:rPr>
            </w:pPr>
            <w:r>
              <w:rPr>
                <w:rFonts w:hint="eastAsia" w:ascii="仿宋" w:hAnsi="仿宋" w:eastAsia="仿宋" w:cs="仿宋"/>
                <w:color w:val="000000"/>
                <w:szCs w:val="21"/>
                <w:lang w:eastAsia="zh-CN"/>
              </w:rPr>
              <w:t>标准化填报界面服务</w:t>
            </w:r>
          </w:p>
        </w:tc>
        <w:tc>
          <w:tcPr>
            <w:tcW w:w="1215" w:type="dxa"/>
            <w:vAlign w:val="center"/>
          </w:tcPr>
          <w:p w14:paraId="6470A1B7">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center"/>
              <w:textAlignment w:val="auto"/>
              <w:rPr>
                <w:rFonts w:hint="default" w:ascii="仿宋" w:hAnsi="仿宋" w:eastAsia="仿宋" w:cs="仿宋"/>
                <w:color w:val="000000"/>
                <w:szCs w:val="21"/>
                <w:lang w:val="en-US" w:eastAsia="zh-CN"/>
              </w:rPr>
            </w:pPr>
            <w:r>
              <w:rPr>
                <w:rFonts w:hint="eastAsia" w:ascii="仿宋" w:hAnsi="仿宋" w:eastAsia="仿宋" w:cs="仿宋"/>
                <w:color w:val="000000"/>
                <w:szCs w:val="21"/>
                <w:lang w:val="en-US" w:eastAsia="zh-CN"/>
              </w:rPr>
              <w:t>20</w:t>
            </w:r>
          </w:p>
        </w:tc>
        <w:tc>
          <w:tcPr>
            <w:tcW w:w="4607" w:type="dxa"/>
            <w:vAlign w:val="center"/>
          </w:tcPr>
          <w:p w14:paraId="621FE3C6">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lang w:eastAsia="zh-CN"/>
              </w:rPr>
            </w:pPr>
            <w:r>
              <w:rPr>
                <w:rFonts w:hint="eastAsia" w:ascii="仿宋" w:hAnsi="仿宋" w:eastAsia="仿宋" w:cs="仿宋"/>
                <w:color w:val="000000"/>
                <w:szCs w:val="21"/>
                <w:lang w:eastAsia="zh-CN"/>
              </w:rPr>
              <w:t>供应商应基于采购人提供的术语标准，提供标准化填报界面技术方案，内容包括但不限于以下三个部分：</w:t>
            </w:r>
          </w:p>
          <w:p w14:paraId="03D0E23D">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lang w:eastAsia="zh-CN"/>
              </w:rPr>
            </w:pPr>
            <w:r>
              <w:rPr>
                <w:rFonts w:hint="eastAsia" w:ascii="仿宋" w:hAnsi="仿宋" w:eastAsia="仿宋" w:cs="仿宋"/>
                <w:color w:val="000000"/>
                <w:szCs w:val="21"/>
                <w:lang w:eastAsia="zh-CN"/>
              </w:rPr>
              <w:t>一、勾选式填报界面（</w:t>
            </w:r>
            <w:r>
              <w:rPr>
                <w:rFonts w:hint="eastAsia" w:ascii="仿宋" w:hAnsi="仿宋" w:eastAsia="仿宋" w:cs="仿宋"/>
                <w:color w:val="000000"/>
                <w:szCs w:val="21"/>
                <w:lang w:val="en-US" w:eastAsia="zh-CN"/>
              </w:rPr>
              <w:t>10</w:t>
            </w:r>
            <w:r>
              <w:rPr>
                <w:rFonts w:hint="eastAsia" w:ascii="仿宋" w:hAnsi="仿宋" w:eastAsia="仿宋" w:cs="仿宋"/>
                <w:color w:val="000000"/>
                <w:szCs w:val="21"/>
                <w:lang w:eastAsia="zh-CN"/>
              </w:rPr>
              <w:t xml:space="preserve"> 分）</w:t>
            </w:r>
          </w:p>
          <w:p w14:paraId="4223B349">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lang w:eastAsia="zh-CN"/>
              </w:rPr>
            </w:pPr>
            <w:r>
              <w:rPr>
                <w:rFonts w:hint="eastAsia" w:ascii="仿宋" w:hAnsi="仿宋" w:eastAsia="仿宋" w:cs="仿宋"/>
                <w:color w:val="000000"/>
                <w:szCs w:val="21"/>
                <w:lang w:eastAsia="zh-CN"/>
              </w:rPr>
              <w:t>按照不良事件报告逻辑结构设计各模块（包括但不限于器械故障表现、事件原因分析、严重程度等），内置分级分类的勾选式选项，支持单选、多选等多种勾选方式完成核心内容填报。</w:t>
            </w:r>
          </w:p>
          <w:p w14:paraId="4EA9A60A">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lang w:eastAsia="zh-CN"/>
              </w:rPr>
            </w:pPr>
            <w:r>
              <w:rPr>
                <w:rFonts w:hint="eastAsia" w:ascii="仿宋" w:hAnsi="仿宋" w:eastAsia="仿宋" w:cs="仿宋"/>
                <w:color w:val="000000"/>
                <w:szCs w:val="21"/>
                <w:lang w:eastAsia="zh-CN"/>
              </w:rPr>
              <w:t>1．填报模块完整覆盖核心维度，术语与采购人标准高度匹配，选项分类清晰、层级合理，勾选操作便捷高效，得</w:t>
            </w:r>
            <w:r>
              <w:rPr>
                <w:rFonts w:hint="eastAsia" w:ascii="仿宋" w:hAnsi="仿宋" w:eastAsia="仿宋" w:cs="仿宋"/>
                <w:color w:val="000000"/>
                <w:szCs w:val="21"/>
                <w:lang w:val="en-US" w:eastAsia="zh-CN"/>
              </w:rPr>
              <w:t>10</w:t>
            </w:r>
            <w:r>
              <w:rPr>
                <w:rFonts w:hint="eastAsia" w:ascii="仿宋" w:hAnsi="仿宋" w:eastAsia="仿宋" w:cs="仿宋"/>
                <w:color w:val="000000"/>
                <w:szCs w:val="21"/>
                <w:lang w:eastAsia="zh-CN"/>
              </w:rPr>
              <w:t xml:space="preserve"> 分；</w:t>
            </w:r>
          </w:p>
          <w:p w14:paraId="2691B704">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lang w:eastAsia="zh-CN"/>
              </w:rPr>
            </w:pPr>
            <w:r>
              <w:rPr>
                <w:rFonts w:hint="eastAsia" w:ascii="仿宋" w:hAnsi="仿宋" w:eastAsia="仿宋" w:cs="仿宋"/>
                <w:color w:val="000000"/>
                <w:szCs w:val="21"/>
                <w:lang w:eastAsia="zh-CN"/>
              </w:rPr>
              <w:t xml:space="preserve">2．填报模块覆盖主要核心维度，勾选功能基本满足填报需求，得 </w:t>
            </w:r>
            <w:r>
              <w:rPr>
                <w:rFonts w:hint="eastAsia" w:ascii="仿宋" w:hAnsi="仿宋" w:eastAsia="仿宋" w:cs="仿宋"/>
                <w:color w:val="000000"/>
                <w:szCs w:val="21"/>
                <w:lang w:val="en-US" w:eastAsia="zh-CN"/>
              </w:rPr>
              <w:t>7</w:t>
            </w:r>
            <w:r>
              <w:rPr>
                <w:rFonts w:hint="eastAsia" w:ascii="仿宋" w:hAnsi="仿宋" w:eastAsia="仿宋" w:cs="仿宋"/>
                <w:color w:val="000000"/>
                <w:szCs w:val="21"/>
                <w:lang w:eastAsia="zh-CN"/>
              </w:rPr>
              <w:t xml:space="preserve"> 分；</w:t>
            </w:r>
          </w:p>
          <w:p w14:paraId="3AF224EF">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lang w:eastAsia="zh-CN"/>
              </w:rPr>
            </w:pPr>
            <w:r>
              <w:rPr>
                <w:rFonts w:hint="eastAsia" w:ascii="仿宋" w:hAnsi="仿宋" w:eastAsia="仿宋" w:cs="仿宋"/>
                <w:color w:val="000000"/>
                <w:szCs w:val="21"/>
                <w:lang w:eastAsia="zh-CN"/>
              </w:rPr>
              <w:t>3．填报模块缺项较多，选项覆盖不全，得</w:t>
            </w:r>
            <w:r>
              <w:rPr>
                <w:rFonts w:hint="eastAsia" w:ascii="仿宋" w:hAnsi="仿宋" w:eastAsia="仿宋" w:cs="仿宋"/>
                <w:color w:val="000000"/>
                <w:szCs w:val="21"/>
                <w:lang w:val="en-US" w:eastAsia="zh-CN"/>
              </w:rPr>
              <w:t>3</w:t>
            </w:r>
            <w:r>
              <w:rPr>
                <w:rFonts w:hint="eastAsia" w:ascii="仿宋" w:hAnsi="仿宋" w:eastAsia="仿宋" w:cs="仿宋"/>
                <w:color w:val="000000"/>
                <w:szCs w:val="21"/>
                <w:lang w:eastAsia="zh-CN"/>
              </w:rPr>
              <w:t>分；</w:t>
            </w:r>
          </w:p>
          <w:p w14:paraId="6995E458">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lang w:eastAsia="zh-CN"/>
              </w:rPr>
            </w:pPr>
            <w:r>
              <w:rPr>
                <w:rFonts w:hint="eastAsia" w:ascii="仿宋" w:hAnsi="仿宋" w:eastAsia="仿宋" w:cs="仿宋"/>
                <w:color w:val="000000"/>
                <w:szCs w:val="21"/>
                <w:lang w:eastAsia="zh-CN"/>
              </w:rPr>
              <w:t>4．未提供或严重偏离采购需求，不得分。</w:t>
            </w:r>
          </w:p>
          <w:p w14:paraId="0B43E81D">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lang w:eastAsia="zh-CN"/>
              </w:rPr>
            </w:pPr>
            <w:r>
              <w:rPr>
                <w:rFonts w:hint="eastAsia" w:ascii="仿宋" w:hAnsi="仿宋" w:eastAsia="仿宋" w:cs="仿宋"/>
                <w:color w:val="000000"/>
                <w:szCs w:val="21"/>
                <w:lang w:eastAsia="zh-CN"/>
              </w:rPr>
              <w:t>二、模糊检索功能（4 分）</w:t>
            </w:r>
          </w:p>
          <w:p w14:paraId="1263FE5F">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lang w:eastAsia="zh-CN"/>
              </w:rPr>
            </w:pPr>
            <w:r>
              <w:rPr>
                <w:rFonts w:hint="eastAsia" w:ascii="仿宋" w:hAnsi="仿宋" w:eastAsia="仿宋" w:cs="仿宋"/>
                <w:color w:val="000000"/>
                <w:szCs w:val="21"/>
                <w:lang w:eastAsia="zh-CN"/>
              </w:rPr>
              <w:t>支持关键词、首字母、拼音及同义 / 近义词等多种方式的模糊检索，上报人员输入简单条件即可快速匹配对应术语选项，保障填报用语规范统一。</w:t>
            </w:r>
          </w:p>
          <w:p w14:paraId="3479B44D">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lang w:eastAsia="zh-CN"/>
              </w:rPr>
            </w:pPr>
            <w:r>
              <w:rPr>
                <w:rFonts w:hint="eastAsia" w:ascii="仿宋" w:hAnsi="仿宋" w:eastAsia="仿宋" w:cs="仿宋"/>
                <w:color w:val="000000"/>
                <w:szCs w:val="21"/>
                <w:lang w:eastAsia="zh-CN"/>
              </w:rPr>
              <w:t>1．检索方式丰富多元，匹配精准度高、响应速度快，有效提升填报效率与规范性，得 4 分；</w:t>
            </w:r>
          </w:p>
          <w:p w14:paraId="63E30B04">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lang w:eastAsia="zh-CN"/>
              </w:rPr>
            </w:pPr>
            <w:r>
              <w:rPr>
                <w:rFonts w:hint="eastAsia" w:ascii="仿宋" w:hAnsi="仿宋" w:eastAsia="仿宋" w:cs="仿宋"/>
                <w:color w:val="000000"/>
                <w:szCs w:val="21"/>
                <w:lang w:eastAsia="zh-CN"/>
              </w:rPr>
              <w:t>2．支持主流检索方式，匹配效果基本满足填报需求，得 2 分；</w:t>
            </w:r>
          </w:p>
          <w:p w14:paraId="32B798E1">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lang w:eastAsia="zh-CN"/>
              </w:rPr>
            </w:pPr>
            <w:r>
              <w:rPr>
                <w:rFonts w:hint="eastAsia" w:ascii="仿宋" w:hAnsi="仿宋" w:eastAsia="仿宋" w:cs="仿宋"/>
                <w:color w:val="000000"/>
                <w:szCs w:val="21"/>
                <w:lang w:eastAsia="zh-CN"/>
              </w:rPr>
              <w:t>3．检索功能单一，匹配准确率一般，得 1 分；</w:t>
            </w:r>
          </w:p>
          <w:p w14:paraId="370FC4D7">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lang w:eastAsia="zh-CN"/>
              </w:rPr>
            </w:pPr>
            <w:r>
              <w:rPr>
                <w:rFonts w:hint="eastAsia" w:ascii="仿宋" w:hAnsi="仿宋" w:eastAsia="仿宋" w:cs="仿宋"/>
                <w:color w:val="000000"/>
                <w:szCs w:val="21"/>
                <w:lang w:eastAsia="zh-CN"/>
              </w:rPr>
              <w:t>4．未提供模糊检索功能，不得分。</w:t>
            </w:r>
          </w:p>
          <w:p w14:paraId="7327AADB">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lang w:eastAsia="zh-CN"/>
              </w:rPr>
            </w:pPr>
            <w:r>
              <w:rPr>
                <w:rFonts w:hint="eastAsia" w:ascii="仿宋" w:hAnsi="仿宋" w:eastAsia="仿宋" w:cs="仿宋"/>
                <w:color w:val="000000"/>
                <w:szCs w:val="21"/>
                <w:lang w:eastAsia="zh-CN"/>
              </w:rPr>
              <w:t>三、智能引导与校验（</w:t>
            </w:r>
            <w:r>
              <w:rPr>
                <w:rFonts w:hint="eastAsia" w:ascii="仿宋" w:hAnsi="仿宋" w:eastAsia="仿宋" w:cs="仿宋"/>
                <w:color w:val="000000"/>
                <w:szCs w:val="21"/>
                <w:lang w:val="en-US" w:eastAsia="zh-CN"/>
              </w:rPr>
              <w:t>6</w:t>
            </w:r>
            <w:r>
              <w:rPr>
                <w:rFonts w:hint="eastAsia" w:ascii="仿宋" w:hAnsi="仿宋" w:eastAsia="仿宋" w:cs="仿宋"/>
                <w:color w:val="000000"/>
                <w:szCs w:val="21"/>
                <w:lang w:eastAsia="zh-CN"/>
              </w:rPr>
              <w:t>分）</w:t>
            </w:r>
          </w:p>
          <w:p w14:paraId="00E278F6">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lang w:eastAsia="zh-CN"/>
              </w:rPr>
            </w:pPr>
            <w:r>
              <w:rPr>
                <w:rFonts w:hint="eastAsia" w:ascii="仿宋" w:hAnsi="仿宋" w:eastAsia="仿宋" w:cs="仿宋"/>
                <w:color w:val="000000"/>
                <w:szCs w:val="21"/>
                <w:lang w:eastAsia="zh-CN"/>
              </w:rPr>
              <w:t>界面对必填项、选填项进行清晰标注，支持分步填报与自动暂存，避免操作中断导致信息丢失；对事件发生时间与试剂使用时间的逻辑关系、信息项之间的匹配关系等进行自动校验，对异常填报实时弹窗提示，引导上报人员即时修正。</w:t>
            </w:r>
          </w:p>
          <w:p w14:paraId="614B66B8">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lang w:eastAsia="zh-CN"/>
              </w:rPr>
            </w:pPr>
            <w:r>
              <w:rPr>
                <w:rFonts w:hint="eastAsia" w:ascii="仿宋" w:hAnsi="仿宋" w:eastAsia="仿宋" w:cs="仿宋"/>
                <w:color w:val="000000"/>
                <w:szCs w:val="21"/>
                <w:lang w:eastAsia="zh-CN"/>
              </w:rPr>
              <w:t xml:space="preserve">1．填报引导清晰，自动暂存稳定可靠，校验规则全面精准，异常提示明确，有效保障填报质量，得 </w:t>
            </w:r>
            <w:r>
              <w:rPr>
                <w:rFonts w:hint="eastAsia" w:ascii="仿宋" w:hAnsi="仿宋" w:eastAsia="仿宋" w:cs="仿宋"/>
                <w:color w:val="000000"/>
                <w:szCs w:val="21"/>
                <w:lang w:val="en-US" w:eastAsia="zh-CN"/>
              </w:rPr>
              <w:t>6</w:t>
            </w:r>
            <w:r>
              <w:rPr>
                <w:rFonts w:hint="eastAsia" w:ascii="仿宋" w:hAnsi="仿宋" w:eastAsia="仿宋" w:cs="仿宋"/>
                <w:color w:val="000000"/>
                <w:szCs w:val="21"/>
                <w:lang w:eastAsia="zh-CN"/>
              </w:rPr>
              <w:t>分；</w:t>
            </w:r>
          </w:p>
          <w:p w14:paraId="0FE09DE3">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lang w:eastAsia="zh-CN"/>
              </w:rPr>
            </w:pPr>
            <w:r>
              <w:rPr>
                <w:rFonts w:hint="eastAsia" w:ascii="仿宋" w:hAnsi="仿宋" w:eastAsia="仿宋" w:cs="仿宋"/>
                <w:color w:val="000000"/>
                <w:szCs w:val="21"/>
                <w:lang w:eastAsia="zh-CN"/>
              </w:rPr>
              <w:t xml:space="preserve">2．具备基本填报引导与逻辑校验功能，得 </w:t>
            </w:r>
            <w:r>
              <w:rPr>
                <w:rFonts w:hint="eastAsia" w:ascii="仿宋" w:hAnsi="仿宋" w:eastAsia="仿宋" w:cs="仿宋"/>
                <w:color w:val="000000"/>
                <w:szCs w:val="21"/>
                <w:lang w:val="en-US" w:eastAsia="zh-CN"/>
              </w:rPr>
              <w:t>4</w:t>
            </w:r>
            <w:r>
              <w:rPr>
                <w:rFonts w:hint="eastAsia" w:ascii="仿宋" w:hAnsi="仿宋" w:eastAsia="仿宋" w:cs="仿宋"/>
                <w:color w:val="000000"/>
                <w:szCs w:val="21"/>
                <w:lang w:eastAsia="zh-CN"/>
              </w:rPr>
              <w:t xml:space="preserve"> 分；</w:t>
            </w:r>
          </w:p>
          <w:p w14:paraId="3CE7CE5F">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lang w:eastAsia="zh-CN"/>
              </w:rPr>
            </w:pPr>
            <w:r>
              <w:rPr>
                <w:rFonts w:hint="eastAsia" w:ascii="仿宋" w:hAnsi="仿宋" w:eastAsia="仿宋" w:cs="仿宋"/>
                <w:color w:val="000000"/>
                <w:szCs w:val="21"/>
                <w:lang w:eastAsia="zh-CN"/>
              </w:rPr>
              <w:t xml:space="preserve">3．引导与校验功能不完善，得 </w:t>
            </w:r>
            <w:r>
              <w:rPr>
                <w:rFonts w:hint="eastAsia" w:ascii="仿宋" w:hAnsi="仿宋" w:eastAsia="仿宋" w:cs="仿宋"/>
                <w:color w:val="000000"/>
                <w:szCs w:val="21"/>
                <w:lang w:val="en-US" w:eastAsia="zh-CN"/>
              </w:rPr>
              <w:t>2</w:t>
            </w:r>
            <w:r>
              <w:rPr>
                <w:rFonts w:hint="eastAsia" w:ascii="仿宋" w:hAnsi="仿宋" w:eastAsia="仿宋" w:cs="仿宋"/>
                <w:color w:val="000000"/>
                <w:szCs w:val="21"/>
                <w:lang w:eastAsia="zh-CN"/>
              </w:rPr>
              <w:t xml:space="preserve"> 分；</w:t>
            </w:r>
          </w:p>
          <w:p w14:paraId="77E6E555">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lang w:eastAsia="zh-CN"/>
              </w:rPr>
            </w:pPr>
            <w:r>
              <w:rPr>
                <w:rFonts w:hint="eastAsia" w:ascii="仿宋" w:hAnsi="仿宋" w:eastAsia="仿宋" w:cs="仿宋"/>
                <w:color w:val="000000"/>
                <w:szCs w:val="21"/>
                <w:lang w:eastAsia="zh-CN"/>
              </w:rPr>
              <w:t>4．未提供相关功能，不得分。</w:t>
            </w:r>
          </w:p>
        </w:tc>
      </w:tr>
      <w:tr w14:paraId="0E8316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484" w:type="dxa"/>
            <w:vAlign w:val="center"/>
          </w:tcPr>
          <w:p w14:paraId="78B8C2FA">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center"/>
              <w:textAlignment w:val="auto"/>
              <w:rPr>
                <w:rFonts w:hint="eastAsia" w:ascii="仿宋" w:hAnsi="仿宋" w:eastAsia="仿宋" w:cs="仿宋"/>
                <w:color w:val="000000"/>
                <w:szCs w:val="21"/>
                <w:lang w:val="en-US" w:eastAsia="zh-CN"/>
              </w:rPr>
            </w:pPr>
            <w:r>
              <w:rPr>
                <w:rFonts w:hint="eastAsia" w:ascii="仿宋" w:hAnsi="仿宋" w:eastAsia="仿宋" w:cs="仿宋"/>
                <w:color w:val="000000"/>
                <w:szCs w:val="21"/>
                <w:lang w:val="en-US" w:eastAsia="zh-CN"/>
              </w:rPr>
              <w:t>数据采集与整理服务</w:t>
            </w:r>
          </w:p>
        </w:tc>
        <w:tc>
          <w:tcPr>
            <w:tcW w:w="1215" w:type="dxa"/>
            <w:vAlign w:val="center"/>
          </w:tcPr>
          <w:p w14:paraId="38C9A828">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center"/>
              <w:textAlignment w:val="auto"/>
              <w:rPr>
                <w:rFonts w:hint="default" w:ascii="仿宋" w:hAnsi="仿宋" w:eastAsia="仿宋" w:cs="仿宋"/>
                <w:color w:val="000000"/>
                <w:szCs w:val="21"/>
                <w:lang w:val="en-US" w:eastAsia="zh-CN"/>
              </w:rPr>
            </w:pPr>
            <w:r>
              <w:rPr>
                <w:rFonts w:hint="eastAsia" w:ascii="仿宋" w:hAnsi="仿宋" w:eastAsia="仿宋" w:cs="仿宋"/>
                <w:color w:val="000000"/>
                <w:szCs w:val="21"/>
                <w:lang w:val="en-US" w:eastAsia="zh-CN"/>
              </w:rPr>
              <w:t>5</w:t>
            </w:r>
          </w:p>
        </w:tc>
        <w:tc>
          <w:tcPr>
            <w:tcW w:w="4607" w:type="dxa"/>
            <w:vAlign w:val="center"/>
          </w:tcPr>
          <w:p w14:paraId="78CA8A1A">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rPr>
            </w:pPr>
            <w:r>
              <w:rPr>
                <w:rFonts w:hint="eastAsia" w:ascii="仿宋" w:hAnsi="仿宋" w:eastAsia="仿宋" w:cs="仿宋"/>
                <w:color w:val="000000"/>
                <w:szCs w:val="21"/>
              </w:rPr>
              <w:t>供应商应提供上报数据采集、整理与交付的完整方案，内容包括但不限于以下两个部分：</w:t>
            </w:r>
          </w:p>
          <w:p w14:paraId="7DCA4B7D">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rPr>
            </w:pPr>
            <w:r>
              <w:rPr>
                <w:rFonts w:hint="eastAsia" w:ascii="仿宋" w:hAnsi="仿宋" w:eastAsia="仿宋" w:cs="仿宋"/>
                <w:color w:val="000000"/>
                <w:szCs w:val="21"/>
              </w:rPr>
              <w:t>一、数据整理汇总（</w:t>
            </w:r>
            <w:r>
              <w:rPr>
                <w:rFonts w:hint="eastAsia" w:ascii="仿宋" w:hAnsi="仿宋" w:eastAsia="仿宋" w:cs="仿宋"/>
                <w:color w:val="000000"/>
                <w:szCs w:val="21"/>
                <w:lang w:val="en-US" w:eastAsia="zh-CN"/>
              </w:rPr>
              <w:t>3</w:t>
            </w:r>
            <w:r>
              <w:rPr>
                <w:rFonts w:hint="eastAsia" w:ascii="仿宋" w:hAnsi="仿宋" w:eastAsia="仿宋" w:cs="仿宋"/>
                <w:color w:val="000000"/>
                <w:szCs w:val="21"/>
              </w:rPr>
              <w:t>分）</w:t>
            </w:r>
          </w:p>
          <w:p w14:paraId="4C40DCB0">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rPr>
            </w:pPr>
            <w:r>
              <w:rPr>
                <w:rFonts w:hint="eastAsia" w:ascii="仿宋" w:hAnsi="仿宋" w:eastAsia="仿宋" w:cs="仿宋"/>
                <w:color w:val="000000"/>
                <w:szCs w:val="21"/>
              </w:rPr>
              <w:t>根据采购人要求，按时间维度、机构维度、试剂维度、事件维度等多维度对采集到的数据进行汇总整理，形成结构化的汇总数据集。</w:t>
            </w:r>
          </w:p>
          <w:p w14:paraId="23040454">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rPr>
            </w:pPr>
            <w:r>
              <w:rPr>
                <w:rFonts w:hint="eastAsia" w:ascii="仿宋" w:hAnsi="仿宋" w:eastAsia="仿宋" w:cs="仿宋"/>
                <w:color w:val="000000"/>
                <w:szCs w:val="21"/>
              </w:rPr>
              <w:t xml:space="preserve">1．支持多维度灵活汇总，数据整理规范、结构清晰，可满足各类统计分析需求，得 </w:t>
            </w:r>
            <w:r>
              <w:rPr>
                <w:rFonts w:hint="eastAsia" w:ascii="仿宋" w:hAnsi="仿宋" w:eastAsia="仿宋" w:cs="仿宋"/>
                <w:color w:val="000000"/>
                <w:szCs w:val="21"/>
                <w:lang w:val="en-US" w:eastAsia="zh-CN"/>
              </w:rPr>
              <w:t>3</w:t>
            </w:r>
            <w:r>
              <w:rPr>
                <w:rFonts w:hint="eastAsia" w:ascii="仿宋" w:hAnsi="仿宋" w:eastAsia="仿宋" w:cs="仿宋"/>
                <w:color w:val="000000"/>
                <w:szCs w:val="21"/>
              </w:rPr>
              <w:t xml:space="preserve"> 分；</w:t>
            </w:r>
          </w:p>
          <w:p w14:paraId="38023886">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rPr>
            </w:pPr>
            <w:r>
              <w:rPr>
                <w:rFonts w:hint="eastAsia" w:ascii="仿宋" w:hAnsi="仿宋" w:eastAsia="仿宋" w:cs="仿宋"/>
                <w:color w:val="000000"/>
                <w:szCs w:val="21"/>
              </w:rPr>
              <w:t xml:space="preserve">2．支持主要维度汇总整理，基本达到结构化数据要求，得 </w:t>
            </w:r>
            <w:r>
              <w:rPr>
                <w:rFonts w:hint="eastAsia" w:ascii="仿宋" w:hAnsi="仿宋" w:eastAsia="仿宋" w:cs="仿宋"/>
                <w:color w:val="000000"/>
                <w:szCs w:val="21"/>
                <w:lang w:val="en-US" w:eastAsia="zh-CN"/>
              </w:rPr>
              <w:t>2</w:t>
            </w:r>
            <w:r>
              <w:rPr>
                <w:rFonts w:hint="eastAsia" w:ascii="仿宋" w:hAnsi="仿宋" w:eastAsia="仿宋" w:cs="仿宋"/>
                <w:color w:val="000000"/>
                <w:szCs w:val="21"/>
              </w:rPr>
              <w:t>分；</w:t>
            </w:r>
          </w:p>
          <w:p w14:paraId="5CB490A9">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rPr>
            </w:pPr>
            <w:r>
              <w:rPr>
                <w:rFonts w:hint="eastAsia" w:ascii="仿宋" w:hAnsi="仿宋" w:eastAsia="仿宋" w:cs="仿宋"/>
                <w:color w:val="000000"/>
                <w:szCs w:val="21"/>
              </w:rPr>
              <w:t>3．汇总维度有限，数据规范性一般，得 1 分；</w:t>
            </w:r>
          </w:p>
          <w:p w14:paraId="46340205">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rPr>
            </w:pPr>
            <w:r>
              <w:rPr>
                <w:rFonts w:hint="eastAsia" w:ascii="仿宋" w:hAnsi="仿宋" w:eastAsia="仿宋" w:cs="仿宋"/>
                <w:color w:val="000000"/>
                <w:szCs w:val="21"/>
              </w:rPr>
              <w:t>4．未提供数据整理汇总服务，不得分。</w:t>
            </w:r>
          </w:p>
          <w:p w14:paraId="16A82BC7">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rPr>
            </w:pPr>
            <w:r>
              <w:rPr>
                <w:rFonts w:hint="eastAsia" w:ascii="仿宋" w:hAnsi="仿宋" w:eastAsia="仿宋" w:cs="仿宋"/>
                <w:color w:val="000000"/>
                <w:szCs w:val="21"/>
              </w:rPr>
              <w:t>二、数据导出（</w:t>
            </w:r>
            <w:r>
              <w:rPr>
                <w:rFonts w:hint="eastAsia" w:ascii="仿宋" w:hAnsi="仿宋" w:eastAsia="仿宋" w:cs="仿宋"/>
                <w:color w:val="000000"/>
                <w:szCs w:val="21"/>
                <w:lang w:val="en-US" w:eastAsia="zh-CN"/>
              </w:rPr>
              <w:t>2</w:t>
            </w:r>
            <w:r>
              <w:rPr>
                <w:rFonts w:hint="eastAsia" w:ascii="仿宋" w:hAnsi="仿宋" w:eastAsia="仿宋" w:cs="仿宋"/>
                <w:color w:val="000000"/>
                <w:szCs w:val="21"/>
              </w:rPr>
              <w:t>分）</w:t>
            </w:r>
          </w:p>
          <w:p w14:paraId="4A1022B3">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rPr>
            </w:pPr>
            <w:r>
              <w:rPr>
                <w:rFonts w:hint="eastAsia" w:ascii="仿宋" w:hAnsi="仿宋" w:eastAsia="仿宋" w:cs="仿宋"/>
                <w:color w:val="000000"/>
                <w:szCs w:val="21"/>
              </w:rPr>
              <w:t>支持将整理后的数据导出为 Excel、XML 等多种标准格式。</w:t>
            </w:r>
          </w:p>
          <w:p w14:paraId="1A347DBF">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rPr>
            </w:pPr>
            <w:r>
              <w:rPr>
                <w:rFonts w:hint="eastAsia" w:ascii="仿宋" w:hAnsi="仿宋" w:eastAsia="仿宋" w:cs="仿宋"/>
                <w:color w:val="000000"/>
                <w:szCs w:val="21"/>
              </w:rPr>
              <w:t xml:space="preserve">1．支持多种标准格式导出，得 </w:t>
            </w:r>
            <w:r>
              <w:rPr>
                <w:rFonts w:hint="eastAsia" w:ascii="仿宋" w:hAnsi="仿宋" w:eastAsia="仿宋" w:cs="仿宋"/>
                <w:color w:val="000000"/>
                <w:szCs w:val="21"/>
                <w:lang w:val="en-US" w:eastAsia="zh-CN"/>
              </w:rPr>
              <w:t>2</w:t>
            </w:r>
            <w:r>
              <w:rPr>
                <w:rFonts w:hint="eastAsia" w:ascii="仿宋" w:hAnsi="仿宋" w:eastAsia="仿宋" w:cs="仿宋"/>
                <w:color w:val="000000"/>
                <w:szCs w:val="21"/>
              </w:rPr>
              <w:t xml:space="preserve"> 分；</w:t>
            </w:r>
          </w:p>
          <w:p w14:paraId="37AE94A3">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rPr>
            </w:pPr>
            <w:r>
              <w:rPr>
                <w:rFonts w:hint="eastAsia" w:ascii="仿宋" w:hAnsi="仿宋" w:eastAsia="仿宋" w:cs="仿宋"/>
                <w:color w:val="000000"/>
                <w:szCs w:val="21"/>
              </w:rPr>
              <w:t>2．导出格式有限，得 1 分；</w:t>
            </w:r>
          </w:p>
          <w:p w14:paraId="4C423927">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rPr>
            </w:pPr>
            <w:r>
              <w:rPr>
                <w:rFonts w:hint="eastAsia" w:ascii="仿宋" w:hAnsi="仿宋" w:eastAsia="仿宋" w:cs="仿宋"/>
                <w:color w:val="000000"/>
                <w:szCs w:val="21"/>
                <w:lang w:val="en-US" w:eastAsia="zh-CN"/>
              </w:rPr>
              <w:t>3</w:t>
            </w:r>
            <w:r>
              <w:rPr>
                <w:rFonts w:hint="eastAsia" w:ascii="仿宋" w:hAnsi="仿宋" w:eastAsia="仿宋" w:cs="仿宋"/>
                <w:color w:val="000000"/>
                <w:szCs w:val="21"/>
              </w:rPr>
              <w:t>．未提供相关功能，不得分。</w:t>
            </w:r>
          </w:p>
        </w:tc>
      </w:tr>
      <w:tr w14:paraId="008BE9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484" w:type="dxa"/>
            <w:vAlign w:val="center"/>
          </w:tcPr>
          <w:p w14:paraId="046F728A">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center"/>
              <w:textAlignment w:val="auto"/>
              <w:rPr>
                <w:rFonts w:hint="eastAsia" w:ascii="仿宋" w:hAnsi="仿宋" w:eastAsia="仿宋" w:cs="仿宋"/>
                <w:color w:val="000000"/>
                <w:szCs w:val="21"/>
                <w:lang w:val="en-US" w:eastAsia="zh-CN"/>
              </w:rPr>
            </w:pPr>
            <w:r>
              <w:rPr>
                <w:rFonts w:hint="eastAsia" w:ascii="仿宋" w:hAnsi="仿宋" w:eastAsia="仿宋" w:cs="仿宋"/>
              </w:rPr>
              <w:t>日常运行维护与技术支持</w:t>
            </w:r>
            <w:r>
              <w:rPr>
                <w:rFonts w:hint="eastAsia" w:ascii="仿宋" w:hAnsi="仿宋" w:eastAsia="仿宋" w:cs="仿宋"/>
                <w:lang w:eastAsia="zh-CN"/>
              </w:rPr>
              <w:t>服务</w:t>
            </w:r>
          </w:p>
        </w:tc>
        <w:tc>
          <w:tcPr>
            <w:tcW w:w="1215" w:type="dxa"/>
            <w:vAlign w:val="center"/>
          </w:tcPr>
          <w:p w14:paraId="1CDC2C89">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center"/>
              <w:textAlignment w:val="auto"/>
              <w:rPr>
                <w:rFonts w:hint="default" w:ascii="仿宋" w:hAnsi="仿宋" w:eastAsia="仿宋" w:cs="仿宋"/>
                <w:color w:val="000000"/>
                <w:szCs w:val="21"/>
                <w:lang w:val="en-US" w:eastAsia="zh-CN"/>
              </w:rPr>
            </w:pPr>
            <w:r>
              <w:rPr>
                <w:rFonts w:hint="eastAsia" w:ascii="仿宋" w:hAnsi="仿宋" w:eastAsia="仿宋" w:cs="仿宋"/>
                <w:color w:val="000000"/>
                <w:szCs w:val="21"/>
                <w:lang w:val="en-US" w:eastAsia="zh-CN"/>
              </w:rPr>
              <w:t>11</w:t>
            </w:r>
          </w:p>
        </w:tc>
        <w:tc>
          <w:tcPr>
            <w:tcW w:w="4607" w:type="dxa"/>
            <w:vAlign w:val="center"/>
          </w:tcPr>
          <w:p w14:paraId="68CA49C4">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rPr>
            </w:pPr>
            <w:r>
              <w:rPr>
                <w:rFonts w:hint="eastAsia" w:ascii="仿宋" w:hAnsi="仿宋" w:eastAsia="仿宋" w:cs="仿宋"/>
                <w:color w:val="000000"/>
                <w:szCs w:val="21"/>
              </w:rPr>
              <w:t>供应商应提供服务全生命周期的运行保障与技术支撑方案，内容包括但不限于以下两个部分：</w:t>
            </w:r>
          </w:p>
          <w:p w14:paraId="2E6A66E0">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rPr>
            </w:pPr>
            <w:r>
              <w:rPr>
                <w:rFonts w:hint="eastAsia" w:ascii="仿宋" w:hAnsi="仿宋" w:eastAsia="仿宋" w:cs="仿宋"/>
                <w:color w:val="000000"/>
                <w:szCs w:val="21"/>
              </w:rPr>
              <w:t>一、运行维护与数据保障（6 分）</w:t>
            </w:r>
          </w:p>
          <w:p w14:paraId="2DB4FDA3">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rPr>
            </w:pPr>
            <w:r>
              <w:rPr>
                <w:rFonts w:hint="eastAsia" w:ascii="仿宋" w:hAnsi="仿宋" w:eastAsia="仿宋" w:cs="仿宋"/>
                <w:color w:val="000000"/>
                <w:szCs w:val="21"/>
              </w:rPr>
              <w:t>负责服务平台日常运行监控、服务器运维、故障排查与应急处理，保障系统稳定运行；制定完备的数据备份策略，执行定时自动备份。</w:t>
            </w:r>
          </w:p>
          <w:p w14:paraId="5D3B836C">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rPr>
            </w:pPr>
            <w:r>
              <w:rPr>
                <w:rFonts w:hint="eastAsia" w:ascii="仿宋" w:hAnsi="仿宋" w:eastAsia="仿宋" w:cs="仿宋"/>
                <w:color w:val="000000"/>
                <w:szCs w:val="21"/>
              </w:rPr>
              <w:t>1．运维体系完善，运行监控全面，故障响应与处置及时高效，数据备份策略完备、安全可追溯，系统稳定性强，得 6 分；</w:t>
            </w:r>
          </w:p>
          <w:p w14:paraId="3D25B8E0">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rPr>
            </w:pPr>
            <w:r>
              <w:rPr>
                <w:rFonts w:hint="eastAsia" w:ascii="仿宋" w:hAnsi="仿宋" w:eastAsia="仿宋" w:cs="仿宋"/>
                <w:color w:val="000000"/>
                <w:szCs w:val="21"/>
              </w:rPr>
              <w:t>2．具备基本运维与数据备份机制，可保障系统稳定运行，得 3 分；</w:t>
            </w:r>
          </w:p>
          <w:p w14:paraId="7D7F88B9">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rPr>
            </w:pPr>
            <w:r>
              <w:rPr>
                <w:rFonts w:hint="eastAsia" w:ascii="仿宋" w:hAnsi="仿宋" w:eastAsia="仿宋" w:cs="仿宋"/>
                <w:color w:val="000000"/>
                <w:szCs w:val="21"/>
              </w:rPr>
              <w:t>3．运维与备份机制不完善，得 1 分；</w:t>
            </w:r>
          </w:p>
          <w:p w14:paraId="149A4868">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rPr>
            </w:pPr>
            <w:r>
              <w:rPr>
                <w:rFonts w:hint="eastAsia" w:ascii="仿宋" w:hAnsi="仿宋" w:eastAsia="仿宋" w:cs="仿宋"/>
                <w:color w:val="000000"/>
                <w:szCs w:val="21"/>
              </w:rPr>
              <w:t>4．未提供相关服务，不得分。</w:t>
            </w:r>
          </w:p>
          <w:p w14:paraId="307636A2">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rPr>
            </w:pPr>
            <w:r>
              <w:rPr>
                <w:rFonts w:hint="eastAsia" w:ascii="仿宋" w:hAnsi="仿宋" w:eastAsia="仿宋" w:cs="仿宋"/>
                <w:color w:val="000000"/>
                <w:szCs w:val="21"/>
              </w:rPr>
              <w:t>二、培训与技术支持（5 分）</w:t>
            </w:r>
          </w:p>
          <w:p w14:paraId="0C230FCF">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rPr>
            </w:pPr>
            <w:r>
              <w:rPr>
                <w:rFonts w:hint="eastAsia" w:ascii="仿宋" w:hAnsi="仿宋" w:eastAsia="仿宋" w:cs="仿宋"/>
                <w:color w:val="000000"/>
                <w:szCs w:val="21"/>
              </w:rPr>
              <w:t>提供操作手册、视频教程、上门指导等定制化人员培训；提供服务热线、工作群等多种反馈渠道，及时解决采购人及用户反馈问题。</w:t>
            </w:r>
          </w:p>
          <w:p w14:paraId="22372956">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rPr>
            </w:pPr>
            <w:r>
              <w:rPr>
                <w:rFonts w:hint="eastAsia" w:ascii="仿宋" w:hAnsi="仿宋" w:eastAsia="仿宋" w:cs="仿宋"/>
                <w:color w:val="000000"/>
                <w:szCs w:val="21"/>
              </w:rPr>
              <w:t>1．培训形式丰富、针对性强，技术支持渠道多元，响应及时、问题解决率高，得 5 分；</w:t>
            </w:r>
          </w:p>
          <w:p w14:paraId="4D56F073">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rPr>
            </w:pPr>
            <w:r>
              <w:rPr>
                <w:rFonts w:hint="eastAsia" w:ascii="仿宋" w:hAnsi="仿宋" w:eastAsia="仿宋" w:cs="仿宋"/>
                <w:color w:val="000000"/>
                <w:szCs w:val="21"/>
              </w:rPr>
              <w:t>2．具备基本培训与技术支持服务，得 3 分；</w:t>
            </w:r>
          </w:p>
          <w:p w14:paraId="78C44199">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rPr>
            </w:pPr>
            <w:r>
              <w:rPr>
                <w:rFonts w:hint="eastAsia" w:ascii="仿宋" w:hAnsi="仿宋" w:eastAsia="仿宋" w:cs="仿宋"/>
                <w:color w:val="000000"/>
                <w:szCs w:val="21"/>
              </w:rPr>
              <w:t>3．培训与技术支持服务不完善，得 1 分；</w:t>
            </w:r>
          </w:p>
          <w:p w14:paraId="43F79A7F">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rPr>
            </w:pPr>
            <w:r>
              <w:rPr>
                <w:rFonts w:hint="eastAsia" w:ascii="仿宋" w:hAnsi="仿宋" w:eastAsia="仿宋" w:cs="仿宋"/>
                <w:color w:val="000000"/>
                <w:szCs w:val="21"/>
              </w:rPr>
              <w:t>4．未提供相关服务，不得分。</w:t>
            </w:r>
          </w:p>
        </w:tc>
      </w:tr>
      <w:tr w14:paraId="2FD527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484" w:type="dxa"/>
            <w:vAlign w:val="center"/>
          </w:tcPr>
          <w:p w14:paraId="6932250A">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center"/>
              <w:textAlignment w:val="auto"/>
              <w:rPr>
                <w:rFonts w:hint="eastAsia" w:ascii="仿宋" w:hAnsi="仿宋" w:eastAsia="仿宋" w:cs="仿宋"/>
              </w:rPr>
            </w:pPr>
            <w:r>
              <w:rPr>
                <w:rFonts w:hint="eastAsia" w:ascii="仿宋" w:hAnsi="仿宋" w:eastAsia="仿宋" w:cs="仿宋"/>
              </w:rPr>
              <w:t>数据统计与反馈</w:t>
            </w:r>
          </w:p>
        </w:tc>
        <w:tc>
          <w:tcPr>
            <w:tcW w:w="1215" w:type="dxa"/>
            <w:vAlign w:val="center"/>
          </w:tcPr>
          <w:p w14:paraId="55165827">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center"/>
              <w:textAlignment w:val="auto"/>
              <w:rPr>
                <w:rFonts w:hint="default" w:ascii="仿宋" w:hAnsi="仿宋" w:eastAsia="仿宋" w:cs="仿宋"/>
                <w:color w:val="000000"/>
                <w:szCs w:val="21"/>
                <w:lang w:val="en-US" w:eastAsia="zh-CN"/>
              </w:rPr>
            </w:pPr>
            <w:r>
              <w:rPr>
                <w:rFonts w:hint="eastAsia" w:ascii="仿宋" w:hAnsi="仿宋" w:eastAsia="仿宋" w:cs="仿宋"/>
                <w:color w:val="000000"/>
                <w:szCs w:val="21"/>
                <w:lang w:val="en-US" w:eastAsia="zh-CN"/>
              </w:rPr>
              <w:t>9</w:t>
            </w:r>
          </w:p>
        </w:tc>
        <w:tc>
          <w:tcPr>
            <w:tcW w:w="4607" w:type="dxa"/>
            <w:vAlign w:val="center"/>
          </w:tcPr>
          <w:p w14:paraId="34352E98">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rPr>
            </w:pPr>
            <w:r>
              <w:rPr>
                <w:rFonts w:hint="eastAsia" w:ascii="仿宋" w:hAnsi="仿宋" w:eastAsia="仿宋" w:cs="仿宋"/>
                <w:color w:val="000000"/>
                <w:szCs w:val="21"/>
              </w:rPr>
              <w:t>供应商应提供不良事件数据统计与分析支撑方案，内容包括但不限于以下两个部分：</w:t>
            </w:r>
          </w:p>
          <w:p w14:paraId="43426441">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rPr>
            </w:pPr>
            <w:r>
              <w:rPr>
                <w:rFonts w:hint="eastAsia" w:ascii="仿宋" w:hAnsi="仿宋" w:eastAsia="仿宋" w:cs="仿宋"/>
                <w:color w:val="000000"/>
                <w:szCs w:val="21"/>
              </w:rPr>
              <w:t>一、常态化统计报告（</w:t>
            </w:r>
            <w:r>
              <w:rPr>
                <w:rFonts w:hint="eastAsia" w:ascii="仿宋" w:hAnsi="仿宋" w:eastAsia="仿宋" w:cs="仿宋"/>
                <w:color w:val="000000"/>
                <w:szCs w:val="21"/>
                <w:lang w:val="en-US" w:eastAsia="zh-CN"/>
              </w:rPr>
              <w:t>4</w:t>
            </w:r>
            <w:r>
              <w:rPr>
                <w:rFonts w:hint="eastAsia" w:ascii="仿宋" w:hAnsi="仿宋" w:eastAsia="仿宋" w:cs="仿宋"/>
                <w:color w:val="000000"/>
                <w:szCs w:val="21"/>
              </w:rPr>
              <w:t xml:space="preserve"> 分）</w:t>
            </w:r>
          </w:p>
          <w:p w14:paraId="240B2735">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rPr>
            </w:pPr>
            <w:r>
              <w:rPr>
                <w:rFonts w:hint="eastAsia" w:ascii="仿宋" w:hAnsi="仿宋" w:eastAsia="仿宋" w:cs="仿宋"/>
                <w:color w:val="000000"/>
                <w:szCs w:val="21"/>
              </w:rPr>
              <w:t>按照约定周期提供标准化统计报告，涵盖上报数量、上报类型、上报机构分布等核心维度。</w:t>
            </w:r>
          </w:p>
          <w:p w14:paraId="749E9D2B">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rPr>
            </w:pPr>
            <w:r>
              <w:rPr>
                <w:rFonts w:hint="eastAsia" w:ascii="仿宋" w:hAnsi="仿宋" w:eastAsia="仿宋" w:cs="仿宋"/>
                <w:color w:val="000000"/>
                <w:szCs w:val="21"/>
              </w:rPr>
              <w:t xml:space="preserve">1．统计周期完整，维度全面丰富，报告规范清晰、数据准确，可全面呈现监测工作态势，得 </w:t>
            </w:r>
            <w:r>
              <w:rPr>
                <w:rFonts w:hint="eastAsia" w:ascii="仿宋" w:hAnsi="仿宋" w:eastAsia="仿宋" w:cs="仿宋"/>
                <w:color w:val="000000"/>
                <w:szCs w:val="21"/>
                <w:lang w:val="en-US" w:eastAsia="zh-CN"/>
              </w:rPr>
              <w:t>4</w:t>
            </w:r>
            <w:r>
              <w:rPr>
                <w:rFonts w:hint="eastAsia" w:ascii="仿宋" w:hAnsi="仿宋" w:eastAsia="仿宋" w:cs="仿宋"/>
                <w:color w:val="000000"/>
                <w:szCs w:val="21"/>
              </w:rPr>
              <w:t xml:space="preserve"> 分；</w:t>
            </w:r>
          </w:p>
          <w:p w14:paraId="53C802FA">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rPr>
            </w:pPr>
            <w:r>
              <w:rPr>
                <w:rFonts w:hint="eastAsia" w:ascii="仿宋" w:hAnsi="仿宋" w:eastAsia="仿宋" w:cs="仿宋"/>
                <w:color w:val="000000"/>
                <w:szCs w:val="21"/>
              </w:rPr>
              <w:t xml:space="preserve">2．可按约定提供统计报告，覆盖主要核心维度，基本满足监测需求，得 </w:t>
            </w:r>
            <w:r>
              <w:rPr>
                <w:rFonts w:hint="eastAsia" w:ascii="仿宋" w:hAnsi="仿宋" w:eastAsia="仿宋" w:cs="仿宋"/>
                <w:color w:val="000000"/>
                <w:szCs w:val="21"/>
                <w:lang w:val="en-US" w:eastAsia="zh-CN"/>
              </w:rPr>
              <w:t>2</w:t>
            </w:r>
            <w:r>
              <w:rPr>
                <w:rFonts w:hint="eastAsia" w:ascii="仿宋" w:hAnsi="仿宋" w:eastAsia="仿宋" w:cs="仿宋"/>
                <w:color w:val="000000"/>
                <w:szCs w:val="21"/>
              </w:rPr>
              <w:t xml:space="preserve"> 分；</w:t>
            </w:r>
          </w:p>
          <w:p w14:paraId="3CF4BA84">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rPr>
            </w:pPr>
            <w:r>
              <w:rPr>
                <w:rFonts w:hint="eastAsia" w:ascii="仿宋" w:hAnsi="仿宋" w:eastAsia="仿宋" w:cs="仿宋"/>
                <w:color w:val="000000"/>
                <w:szCs w:val="21"/>
              </w:rPr>
              <w:t xml:space="preserve">3．统计报告维度有限，规范性一般，得 </w:t>
            </w:r>
            <w:r>
              <w:rPr>
                <w:rFonts w:hint="eastAsia" w:ascii="仿宋" w:hAnsi="仿宋" w:eastAsia="仿宋" w:cs="仿宋"/>
                <w:color w:val="000000"/>
                <w:szCs w:val="21"/>
                <w:lang w:val="en-US" w:eastAsia="zh-CN"/>
              </w:rPr>
              <w:t>1</w:t>
            </w:r>
            <w:r>
              <w:rPr>
                <w:rFonts w:hint="eastAsia" w:ascii="仿宋" w:hAnsi="仿宋" w:eastAsia="仿宋" w:cs="仿宋"/>
                <w:color w:val="000000"/>
                <w:szCs w:val="21"/>
              </w:rPr>
              <w:t xml:space="preserve"> 分；</w:t>
            </w:r>
          </w:p>
          <w:p w14:paraId="415C308F">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rPr>
            </w:pPr>
            <w:r>
              <w:rPr>
                <w:rFonts w:hint="eastAsia" w:ascii="仿宋" w:hAnsi="仿宋" w:eastAsia="仿宋" w:cs="仿宋"/>
                <w:color w:val="000000"/>
                <w:szCs w:val="21"/>
              </w:rPr>
              <w:t>4．未提供定期统计报告服务，不得分。</w:t>
            </w:r>
          </w:p>
          <w:p w14:paraId="567767FC">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rPr>
            </w:pPr>
            <w:r>
              <w:rPr>
                <w:rFonts w:hint="eastAsia" w:ascii="仿宋" w:hAnsi="仿宋" w:eastAsia="仿宋" w:cs="仿宋"/>
                <w:color w:val="000000"/>
                <w:szCs w:val="21"/>
              </w:rPr>
              <w:t>二、专项监测分析支持（</w:t>
            </w:r>
            <w:r>
              <w:rPr>
                <w:rFonts w:hint="eastAsia" w:ascii="仿宋" w:hAnsi="仿宋" w:eastAsia="仿宋" w:cs="仿宋"/>
                <w:color w:val="000000"/>
                <w:szCs w:val="21"/>
                <w:lang w:val="en-US" w:eastAsia="zh-CN"/>
              </w:rPr>
              <w:t>5</w:t>
            </w:r>
            <w:r>
              <w:rPr>
                <w:rFonts w:hint="eastAsia" w:ascii="仿宋" w:hAnsi="仿宋" w:eastAsia="仿宋" w:cs="仿宋"/>
                <w:color w:val="000000"/>
                <w:szCs w:val="21"/>
              </w:rPr>
              <w:t xml:space="preserve"> 分）</w:t>
            </w:r>
          </w:p>
          <w:p w14:paraId="50217ED9">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rPr>
            </w:pPr>
            <w:r>
              <w:rPr>
                <w:rFonts w:hint="eastAsia" w:ascii="仿宋" w:hAnsi="仿宋" w:eastAsia="仿宋" w:cs="仿宋"/>
                <w:color w:val="000000"/>
                <w:szCs w:val="21"/>
              </w:rPr>
              <w:t>协助采购人围绕重点监测品种、高发试剂产品、高频不良事件类型等维度，开展监测分析工作。</w:t>
            </w:r>
          </w:p>
          <w:p w14:paraId="0BBC86D1">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rPr>
            </w:pPr>
            <w:r>
              <w:rPr>
                <w:rFonts w:hint="eastAsia" w:ascii="仿宋" w:hAnsi="仿宋" w:eastAsia="仿宋" w:cs="仿宋"/>
                <w:color w:val="000000"/>
                <w:szCs w:val="21"/>
              </w:rPr>
              <w:t xml:space="preserve">1．可深度配合开展多维度专项监测分析，提供有力的数据支撑与专业分析辅助，得 </w:t>
            </w:r>
            <w:r>
              <w:rPr>
                <w:rFonts w:hint="eastAsia" w:ascii="仿宋" w:hAnsi="仿宋" w:eastAsia="仿宋" w:cs="仿宋"/>
                <w:color w:val="000000"/>
                <w:szCs w:val="21"/>
                <w:lang w:val="en-US" w:eastAsia="zh-CN"/>
              </w:rPr>
              <w:t>5</w:t>
            </w:r>
            <w:r>
              <w:rPr>
                <w:rFonts w:hint="eastAsia" w:ascii="仿宋" w:hAnsi="仿宋" w:eastAsia="仿宋" w:cs="仿宋"/>
                <w:color w:val="000000"/>
                <w:szCs w:val="21"/>
              </w:rPr>
              <w:t xml:space="preserve"> 分；</w:t>
            </w:r>
          </w:p>
          <w:p w14:paraId="52DF2F15">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rPr>
            </w:pPr>
            <w:r>
              <w:rPr>
                <w:rFonts w:hint="eastAsia" w:ascii="仿宋" w:hAnsi="仿宋" w:eastAsia="仿宋" w:cs="仿宋"/>
                <w:color w:val="000000"/>
                <w:szCs w:val="21"/>
              </w:rPr>
              <w:t xml:space="preserve">2．具备基本专项统计与分析支持能力，得 </w:t>
            </w:r>
            <w:r>
              <w:rPr>
                <w:rFonts w:hint="eastAsia" w:ascii="仿宋" w:hAnsi="仿宋" w:eastAsia="仿宋" w:cs="仿宋"/>
                <w:color w:val="000000"/>
                <w:szCs w:val="21"/>
                <w:lang w:val="en-US" w:eastAsia="zh-CN"/>
              </w:rPr>
              <w:t>3</w:t>
            </w:r>
            <w:r>
              <w:rPr>
                <w:rFonts w:hint="eastAsia" w:ascii="仿宋" w:hAnsi="仿宋" w:eastAsia="仿宋" w:cs="仿宋"/>
                <w:color w:val="000000"/>
                <w:szCs w:val="21"/>
              </w:rPr>
              <w:t>分；</w:t>
            </w:r>
          </w:p>
          <w:p w14:paraId="08BD1909">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rPr>
            </w:pPr>
            <w:r>
              <w:rPr>
                <w:rFonts w:hint="eastAsia" w:ascii="仿宋" w:hAnsi="仿宋" w:eastAsia="仿宋" w:cs="仿宋"/>
                <w:color w:val="000000"/>
                <w:szCs w:val="21"/>
              </w:rPr>
              <w:t xml:space="preserve">3．专项分析支持能力不足，得 </w:t>
            </w:r>
            <w:r>
              <w:rPr>
                <w:rFonts w:hint="eastAsia" w:ascii="仿宋" w:hAnsi="仿宋" w:eastAsia="仿宋" w:cs="仿宋"/>
                <w:color w:val="000000"/>
                <w:szCs w:val="21"/>
                <w:lang w:val="en-US" w:eastAsia="zh-CN"/>
              </w:rPr>
              <w:t>2</w:t>
            </w:r>
            <w:r>
              <w:rPr>
                <w:rFonts w:hint="eastAsia" w:ascii="仿宋" w:hAnsi="仿宋" w:eastAsia="仿宋" w:cs="仿宋"/>
                <w:color w:val="000000"/>
                <w:szCs w:val="21"/>
              </w:rPr>
              <w:t xml:space="preserve"> 分；</w:t>
            </w:r>
          </w:p>
          <w:p w14:paraId="4505C45D">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rPr>
            </w:pPr>
            <w:r>
              <w:rPr>
                <w:rFonts w:hint="eastAsia" w:ascii="仿宋" w:hAnsi="仿宋" w:eastAsia="仿宋" w:cs="仿宋"/>
                <w:color w:val="000000"/>
                <w:szCs w:val="21"/>
              </w:rPr>
              <w:t>4．未提供相关支持服务，不得分。</w:t>
            </w:r>
          </w:p>
        </w:tc>
      </w:tr>
    </w:tbl>
    <w:p w14:paraId="1A770552">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eastAsia="zh-CN"/>
        </w:rPr>
        <w:t>（三）</w:t>
      </w:r>
      <w:r>
        <w:rPr>
          <w:rFonts w:hint="eastAsia" w:ascii="仿宋" w:hAnsi="仿宋" w:eastAsia="仿宋" w:cs="仿宋"/>
          <w:sz w:val="24"/>
          <w:szCs w:val="24"/>
          <w:highlight w:val="none"/>
        </w:rPr>
        <w:t>商务项满分为</w:t>
      </w:r>
      <w:r>
        <w:rPr>
          <w:rFonts w:hint="eastAsia" w:ascii="仿宋" w:hAnsi="仿宋" w:eastAsia="仿宋" w:cs="仿宋"/>
          <w:sz w:val="24"/>
          <w:szCs w:val="24"/>
          <w:highlight w:val="none"/>
          <w:lang w:val="en-US" w:eastAsia="zh-CN"/>
        </w:rPr>
        <w:t>10</w:t>
      </w:r>
      <w:r>
        <w:rPr>
          <w:rFonts w:hint="eastAsia" w:ascii="仿宋" w:hAnsi="仿宋" w:eastAsia="仿宋" w:cs="仿宋"/>
          <w:sz w:val="24"/>
          <w:szCs w:val="24"/>
          <w:highlight w:val="none"/>
        </w:rPr>
        <w:t>.00分</w:t>
      </w:r>
    </w:p>
    <w:tbl>
      <w:tblPr>
        <w:tblStyle w:val="11"/>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469"/>
        <w:gridCol w:w="1245"/>
        <w:gridCol w:w="4592"/>
      </w:tblGrid>
      <w:tr w14:paraId="351A0E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96" w:hRule="atLeast"/>
        </w:trPr>
        <w:tc>
          <w:tcPr>
            <w:tcW w:w="2469" w:type="dxa"/>
            <w:vAlign w:val="center"/>
          </w:tcPr>
          <w:p w14:paraId="480BB32A">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项目</w:t>
            </w:r>
          </w:p>
        </w:tc>
        <w:tc>
          <w:tcPr>
            <w:tcW w:w="1245" w:type="dxa"/>
            <w:vAlign w:val="center"/>
          </w:tcPr>
          <w:p w14:paraId="32FA2239">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分值</w:t>
            </w:r>
          </w:p>
        </w:tc>
        <w:tc>
          <w:tcPr>
            <w:tcW w:w="4592" w:type="dxa"/>
            <w:vAlign w:val="center"/>
          </w:tcPr>
          <w:p w14:paraId="66FE65DD">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描述</w:t>
            </w:r>
          </w:p>
        </w:tc>
      </w:tr>
      <w:tr w14:paraId="3F01A5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337" w:hRule="atLeast"/>
        </w:trPr>
        <w:tc>
          <w:tcPr>
            <w:tcW w:w="2469" w:type="dxa"/>
            <w:vAlign w:val="center"/>
          </w:tcPr>
          <w:p w14:paraId="7B4E5BEA">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center"/>
              <w:textAlignment w:val="auto"/>
              <w:rPr>
                <w:rFonts w:hint="eastAsia" w:ascii="仿宋" w:hAnsi="仿宋" w:eastAsia="仿宋" w:cs="仿宋"/>
                <w:color w:val="000000"/>
                <w:szCs w:val="21"/>
                <w:lang w:val="en-US" w:eastAsia="zh-CN"/>
              </w:rPr>
            </w:pPr>
            <w:r>
              <w:rPr>
                <w:rFonts w:hint="eastAsia" w:ascii="仿宋" w:hAnsi="仿宋" w:eastAsia="仿宋" w:cs="仿宋"/>
                <w:color w:val="000000"/>
                <w:szCs w:val="21"/>
                <w:lang w:val="en-US" w:eastAsia="zh-CN"/>
              </w:rPr>
              <w:t>服务人员专业背景</w:t>
            </w:r>
          </w:p>
        </w:tc>
        <w:tc>
          <w:tcPr>
            <w:tcW w:w="1245" w:type="dxa"/>
            <w:vAlign w:val="center"/>
          </w:tcPr>
          <w:p w14:paraId="36D26B7C">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center"/>
              <w:textAlignment w:val="auto"/>
              <w:rPr>
                <w:rFonts w:hint="default" w:ascii="仿宋" w:hAnsi="仿宋" w:eastAsia="仿宋" w:cs="仿宋"/>
                <w:color w:val="000000"/>
                <w:szCs w:val="21"/>
                <w:lang w:val="en-US" w:eastAsia="zh-CN"/>
              </w:rPr>
            </w:pPr>
            <w:r>
              <w:rPr>
                <w:rFonts w:hint="eastAsia" w:ascii="仿宋" w:hAnsi="仿宋" w:eastAsia="仿宋" w:cs="仿宋"/>
                <w:color w:val="000000"/>
                <w:szCs w:val="21"/>
                <w:lang w:val="en-US" w:eastAsia="zh-CN"/>
              </w:rPr>
              <w:t>4</w:t>
            </w:r>
          </w:p>
        </w:tc>
        <w:tc>
          <w:tcPr>
            <w:tcW w:w="4592" w:type="dxa"/>
            <w:vAlign w:val="top"/>
          </w:tcPr>
          <w:p w14:paraId="1D891126">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lang w:val="en-US" w:eastAsia="zh-CN"/>
              </w:rPr>
            </w:pPr>
            <w:r>
              <w:rPr>
                <w:rFonts w:hint="eastAsia" w:ascii="仿宋" w:hAnsi="仿宋" w:eastAsia="仿宋" w:cs="仿宋"/>
                <w:color w:val="000000"/>
                <w:szCs w:val="21"/>
                <w:lang w:val="en-US" w:eastAsia="zh-CN"/>
              </w:rPr>
              <w:t>拟投入本项目的服务人员中，具备医学、药学、检验、生物统计等相关专业背景或具有药械安全监管相关工作经历的人员比例达 100% 的，得 4 分；比例达 80% 及以上的，得 2 分；比例不足 80% 或未提供相关证明材料的，得 0 分。</w:t>
            </w:r>
          </w:p>
        </w:tc>
      </w:tr>
      <w:tr w14:paraId="4DA447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469" w:type="dxa"/>
            <w:vAlign w:val="center"/>
          </w:tcPr>
          <w:p w14:paraId="1FF9A7A0">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center"/>
              <w:textAlignment w:val="auto"/>
              <w:rPr>
                <w:rFonts w:hint="eastAsia" w:ascii="仿宋" w:hAnsi="仿宋" w:eastAsia="仿宋" w:cs="仿宋"/>
                <w:color w:val="000000"/>
                <w:szCs w:val="21"/>
                <w:lang w:val="en-US" w:eastAsia="zh-CN"/>
              </w:rPr>
            </w:pPr>
            <w:r>
              <w:rPr>
                <w:rFonts w:hint="eastAsia" w:ascii="仿宋" w:hAnsi="仿宋" w:eastAsia="仿宋" w:cs="仿宋"/>
                <w:color w:val="000000"/>
                <w:szCs w:val="21"/>
                <w:lang w:val="en-US" w:eastAsia="zh-CN"/>
              </w:rPr>
              <w:t>服务承诺与保密措施</w:t>
            </w:r>
          </w:p>
        </w:tc>
        <w:tc>
          <w:tcPr>
            <w:tcW w:w="1245" w:type="dxa"/>
            <w:vAlign w:val="center"/>
          </w:tcPr>
          <w:p w14:paraId="5D2A0CB4">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center"/>
              <w:textAlignment w:val="auto"/>
              <w:rPr>
                <w:rFonts w:hint="eastAsia" w:ascii="仿宋" w:hAnsi="仿宋" w:eastAsia="仿宋" w:cs="仿宋"/>
                <w:color w:val="000000"/>
                <w:szCs w:val="21"/>
                <w:lang w:val="en-US" w:eastAsia="zh-CN"/>
              </w:rPr>
            </w:pPr>
            <w:r>
              <w:rPr>
                <w:rFonts w:hint="eastAsia" w:ascii="仿宋" w:hAnsi="仿宋" w:eastAsia="仿宋" w:cs="仿宋"/>
                <w:color w:val="000000"/>
                <w:szCs w:val="21"/>
                <w:lang w:val="en-US" w:eastAsia="zh-CN"/>
              </w:rPr>
              <w:t>6</w:t>
            </w:r>
          </w:p>
        </w:tc>
        <w:tc>
          <w:tcPr>
            <w:tcW w:w="4592" w:type="dxa"/>
            <w:vAlign w:val="top"/>
          </w:tcPr>
          <w:p w14:paraId="4DDC5C8A">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lang w:val="en-US" w:eastAsia="zh-CN"/>
              </w:rPr>
            </w:pPr>
            <w:r>
              <w:rPr>
                <w:rFonts w:hint="eastAsia" w:ascii="仿宋" w:hAnsi="仿宋" w:eastAsia="仿宋" w:cs="仿宋"/>
                <w:color w:val="000000"/>
                <w:szCs w:val="21"/>
                <w:lang w:val="en-US" w:eastAsia="zh-CN"/>
              </w:rPr>
              <w:t>1.服务响应承诺：明确响应时限（如接到通知后X小时内响应）、响应方式和升级机制，并提供具体的服务级别协议（SLA）表述，得2分；有响应承诺但时限或方式不够具体，得1分；未涉及的，得0分。</w:t>
            </w:r>
          </w:p>
          <w:p w14:paraId="5D5C4A39">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lang w:val="en-US" w:eastAsia="zh-CN"/>
              </w:rPr>
            </w:pPr>
            <w:r>
              <w:rPr>
                <w:rFonts w:hint="eastAsia" w:ascii="仿宋" w:hAnsi="仿宋" w:eastAsia="仿宋" w:cs="仿宋"/>
                <w:color w:val="000000"/>
                <w:szCs w:val="21"/>
                <w:lang w:val="en-US" w:eastAsia="zh-CN"/>
              </w:rPr>
              <w:t>2.质量保证承诺：明确质量目</w:t>
            </w:r>
            <w:bookmarkStart w:id="0" w:name="_GoBack"/>
            <w:bookmarkEnd w:id="0"/>
            <w:r>
              <w:rPr>
                <w:rFonts w:hint="eastAsia" w:ascii="仿宋" w:hAnsi="仿宋" w:eastAsia="仿宋" w:cs="仿宋"/>
                <w:color w:val="000000"/>
                <w:szCs w:val="21"/>
                <w:lang w:val="en-US" w:eastAsia="zh-CN"/>
              </w:rPr>
              <w:t>标（如报告表项目覆盖率≥X%、成果交付及时率≥X%等可量化指标），并提供未达标的补救措施，得2分；有质量承诺但缺乏量化指标，得1分；未涉及的，得0分。</w:t>
            </w:r>
          </w:p>
          <w:p w14:paraId="78599B2F">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lang w:val="en-US" w:eastAsia="zh-CN"/>
              </w:rPr>
            </w:pPr>
            <w:r>
              <w:rPr>
                <w:rFonts w:hint="eastAsia" w:ascii="仿宋" w:hAnsi="仿宋" w:eastAsia="仿宋" w:cs="仿宋"/>
                <w:color w:val="000000"/>
                <w:szCs w:val="21"/>
                <w:lang w:val="en-US" w:eastAsia="zh-CN"/>
              </w:rPr>
              <w:t>3.成果交付承诺与违约责任：明确各阶段成果的交付形式、交付时间和验收标准，并载明逾期交付或成果不合格的具体违约责任条款，得1分；有交付承诺但未载明违约责任，得0.5分；未涉及的，得0分。</w:t>
            </w:r>
          </w:p>
          <w:p w14:paraId="0B84063B">
            <w:pPr>
              <w:pStyle w:val="14"/>
              <w:keepNext w:val="0"/>
              <w:keepLines w:val="0"/>
              <w:pageBreakBefore w:val="0"/>
              <w:widowControl/>
              <w:kinsoku/>
              <w:wordWrap/>
              <w:overflowPunct/>
              <w:topLinePunct w:val="0"/>
              <w:autoSpaceDE/>
              <w:autoSpaceDN/>
              <w:bidi w:val="0"/>
              <w:adjustRightInd/>
              <w:snapToGrid w:val="0"/>
              <w:spacing w:before="95" w:beforeLines="30" w:after="95" w:afterLines="30" w:line="240" w:lineRule="atLeast"/>
              <w:jc w:val="both"/>
              <w:textAlignment w:val="auto"/>
              <w:rPr>
                <w:rFonts w:hint="eastAsia" w:ascii="仿宋" w:hAnsi="仿宋" w:eastAsia="仿宋" w:cs="仿宋"/>
                <w:color w:val="000000"/>
                <w:szCs w:val="21"/>
                <w:lang w:val="en-US" w:eastAsia="zh-CN"/>
              </w:rPr>
            </w:pPr>
            <w:r>
              <w:rPr>
                <w:rFonts w:hint="eastAsia" w:ascii="仿宋" w:hAnsi="仿宋" w:eastAsia="仿宋" w:cs="仿宋"/>
                <w:color w:val="000000"/>
                <w:szCs w:val="21"/>
                <w:lang w:val="en-US" w:eastAsia="zh-CN"/>
              </w:rPr>
              <w:t>4.数据安全与保密措施：提供具体的数据安全措施（如数据加密、访问权限管理、脱敏处理等）和患者信息保护措施（如保密协议模板、人员保密培训安排等），得1分；有保密描述但措施不够具体，得0.5分；未涉及的，得0分。</w:t>
            </w:r>
          </w:p>
        </w:tc>
      </w:tr>
    </w:tbl>
    <w:p w14:paraId="563D1270">
      <w:pPr>
        <w:keepNext w:val="0"/>
        <w:keepLines w:val="0"/>
        <w:kinsoku/>
        <w:overflowPunct/>
        <w:topLinePunct w:val="0"/>
        <w:autoSpaceDE/>
        <w:autoSpaceDN/>
        <w:bidi w:val="0"/>
        <w:adjustRightInd/>
        <w:snapToGrid w:val="0"/>
        <w:spacing w:before="95" w:beforeLines="30" w:after="95" w:afterLines="30" w:line="560" w:lineRule="exact"/>
        <w:textAlignment w:val="auto"/>
        <w:rPr>
          <w:rFonts w:hint="eastAsia" w:ascii="仿宋" w:hAnsi="仿宋" w:eastAsia="仿宋" w:cs="仿宋"/>
          <w:highlight w:val="none"/>
        </w:rPr>
      </w:pPr>
    </w:p>
    <w:sectPr>
      <w:footerReference r:id="rId4" w:type="default"/>
      <w:pgSz w:w="11906" w:h="16838"/>
      <w:pgMar w:top="1134" w:right="1800" w:bottom="1134"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8E7BD">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9BECC6">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J8cQA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Z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fHEAMQIAAGEEAAAOAAAAAAAAAAEAIAAAAB8BAABkcnMvZTJvRG9jLnhtbFBLBQYA&#10;AAAABgAGAFkBAADCBQAAAAA=&#10;">
              <v:fill on="f" focussize="0,0"/>
              <v:stroke on="f" weight="0.5pt"/>
              <v:imagedata o:title=""/>
              <o:lock v:ext="edit" aspectratio="f"/>
              <v:textbox inset="0mm,0mm,0mm,0mm" style="mso-fit-shape-to-text:t;">
                <w:txbxContent>
                  <w:p w14:paraId="5E9BECC6">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1MDExZjRmODU3ZTNiMDI0MjFmMjZkMTdmOWJmZmYifQ=="/>
  </w:docVars>
  <w:rsids>
    <w:rsidRoot w:val="00000000"/>
    <w:rsid w:val="01E6072E"/>
    <w:rsid w:val="01F27EFE"/>
    <w:rsid w:val="02F63430"/>
    <w:rsid w:val="0320716B"/>
    <w:rsid w:val="0389742B"/>
    <w:rsid w:val="04760FCF"/>
    <w:rsid w:val="04CA305F"/>
    <w:rsid w:val="052B7D45"/>
    <w:rsid w:val="065F3204"/>
    <w:rsid w:val="07D638B4"/>
    <w:rsid w:val="081A565A"/>
    <w:rsid w:val="08311B3B"/>
    <w:rsid w:val="08744F7A"/>
    <w:rsid w:val="097A764F"/>
    <w:rsid w:val="0A5F1209"/>
    <w:rsid w:val="0A83110A"/>
    <w:rsid w:val="0A8C6210"/>
    <w:rsid w:val="0AF40535"/>
    <w:rsid w:val="0B077B5B"/>
    <w:rsid w:val="0BB30260"/>
    <w:rsid w:val="0BB747EB"/>
    <w:rsid w:val="0E491692"/>
    <w:rsid w:val="0F181D29"/>
    <w:rsid w:val="0F9C54D3"/>
    <w:rsid w:val="109C7F8D"/>
    <w:rsid w:val="10DB5880"/>
    <w:rsid w:val="1133356B"/>
    <w:rsid w:val="11670902"/>
    <w:rsid w:val="116B01E8"/>
    <w:rsid w:val="116D29B6"/>
    <w:rsid w:val="13A40F9B"/>
    <w:rsid w:val="13DF679B"/>
    <w:rsid w:val="140825FF"/>
    <w:rsid w:val="1481490C"/>
    <w:rsid w:val="14C65C74"/>
    <w:rsid w:val="14CD061A"/>
    <w:rsid w:val="14E2520A"/>
    <w:rsid w:val="1550232E"/>
    <w:rsid w:val="16305569"/>
    <w:rsid w:val="17B40996"/>
    <w:rsid w:val="17EE2824"/>
    <w:rsid w:val="17FE4FC6"/>
    <w:rsid w:val="180725A6"/>
    <w:rsid w:val="18DC0363"/>
    <w:rsid w:val="18E74349"/>
    <w:rsid w:val="19113EA7"/>
    <w:rsid w:val="1B256348"/>
    <w:rsid w:val="1B4A03A4"/>
    <w:rsid w:val="1BC90A62"/>
    <w:rsid w:val="1BF24027"/>
    <w:rsid w:val="1C776E36"/>
    <w:rsid w:val="1D4428BA"/>
    <w:rsid w:val="1D586945"/>
    <w:rsid w:val="1D854510"/>
    <w:rsid w:val="1FAE704E"/>
    <w:rsid w:val="1FDA1374"/>
    <w:rsid w:val="209F35D1"/>
    <w:rsid w:val="20D32C70"/>
    <w:rsid w:val="214F684A"/>
    <w:rsid w:val="21A02309"/>
    <w:rsid w:val="235D1C34"/>
    <w:rsid w:val="24641BC2"/>
    <w:rsid w:val="24A36C97"/>
    <w:rsid w:val="251816A0"/>
    <w:rsid w:val="254545BF"/>
    <w:rsid w:val="25F67F8A"/>
    <w:rsid w:val="260619BB"/>
    <w:rsid w:val="263D5386"/>
    <w:rsid w:val="265A02B8"/>
    <w:rsid w:val="26657D8B"/>
    <w:rsid w:val="26AC7D5A"/>
    <w:rsid w:val="26F53905"/>
    <w:rsid w:val="27621793"/>
    <w:rsid w:val="28237D5C"/>
    <w:rsid w:val="2A3B1D7D"/>
    <w:rsid w:val="2A5F5A60"/>
    <w:rsid w:val="2A927966"/>
    <w:rsid w:val="2AFF6BB3"/>
    <w:rsid w:val="2D742E08"/>
    <w:rsid w:val="2DF34BFD"/>
    <w:rsid w:val="2E7D0BB7"/>
    <w:rsid w:val="2EB85034"/>
    <w:rsid w:val="2FB30250"/>
    <w:rsid w:val="31173517"/>
    <w:rsid w:val="31391CA7"/>
    <w:rsid w:val="315947EF"/>
    <w:rsid w:val="32BE27F8"/>
    <w:rsid w:val="33B977C6"/>
    <w:rsid w:val="33C60661"/>
    <w:rsid w:val="34910EF0"/>
    <w:rsid w:val="34F416C6"/>
    <w:rsid w:val="376D427E"/>
    <w:rsid w:val="39C63DBA"/>
    <w:rsid w:val="39DA2245"/>
    <w:rsid w:val="3A685AA2"/>
    <w:rsid w:val="3AAF4D7B"/>
    <w:rsid w:val="3B725E37"/>
    <w:rsid w:val="3BC046A9"/>
    <w:rsid w:val="3BC10B57"/>
    <w:rsid w:val="3BF47752"/>
    <w:rsid w:val="3C667DC0"/>
    <w:rsid w:val="3DDE4CA6"/>
    <w:rsid w:val="3F235AF6"/>
    <w:rsid w:val="3F4DF015"/>
    <w:rsid w:val="4095482F"/>
    <w:rsid w:val="40EB768D"/>
    <w:rsid w:val="41AC44C7"/>
    <w:rsid w:val="4263497E"/>
    <w:rsid w:val="426D5238"/>
    <w:rsid w:val="427F6152"/>
    <w:rsid w:val="42F83FCB"/>
    <w:rsid w:val="433A1C2E"/>
    <w:rsid w:val="434E37B2"/>
    <w:rsid w:val="435D0F0C"/>
    <w:rsid w:val="438324EF"/>
    <w:rsid w:val="438849F7"/>
    <w:rsid w:val="43D163CE"/>
    <w:rsid w:val="44EB2F9D"/>
    <w:rsid w:val="462F5DFF"/>
    <w:rsid w:val="4667629D"/>
    <w:rsid w:val="46E644B1"/>
    <w:rsid w:val="47A55629"/>
    <w:rsid w:val="47FB1D04"/>
    <w:rsid w:val="48063F61"/>
    <w:rsid w:val="480F59EB"/>
    <w:rsid w:val="49975867"/>
    <w:rsid w:val="4ABA5EA6"/>
    <w:rsid w:val="4B6B7278"/>
    <w:rsid w:val="4B773B62"/>
    <w:rsid w:val="4BDA3A4F"/>
    <w:rsid w:val="4C936911"/>
    <w:rsid w:val="4D944586"/>
    <w:rsid w:val="4DF83411"/>
    <w:rsid w:val="4DFF2D58"/>
    <w:rsid w:val="4F5B7F79"/>
    <w:rsid w:val="4F7B039F"/>
    <w:rsid w:val="4F8A58F5"/>
    <w:rsid w:val="4FBB22C3"/>
    <w:rsid w:val="512007B4"/>
    <w:rsid w:val="51463280"/>
    <w:rsid w:val="514F06E6"/>
    <w:rsid w:val="51924AFF"/>
    <w:rsid w:val="5292739E"/>
    <w:rsid w:val="52980598"/>
    <w:rsid w:val="529C507C"/>
    <w:rsid w:val="52B05402"/>
    <w:rsid w:val="52B614AB"/>
    <w:rsid w:val="534F08CC"/>
    <w:rsid w:val="5385213F"/>
    <w:rsid w:val="53BF838C"/>
    <w:rsid w:val="53F95A14"/>
    <w:rsid w:val="54CE37F5"/>
    <w:rsid w:val="555E1B24"/>
    <w:rsid w:val="555F460E"/>
    <w:rsid w:val="55F22869"/>
    <w:rsid w:val="56247B07"/>
    <w:rsid w:val="57C245EC"/>
    <w:rsid w:val="585C6BC6"/>
    <w:rsid w:val="599D630C"/>
    <w:rsid w:val="5A7A735F"/>
    <w:rsid w:val="5B43723D"/>
    <w:rsid w:val="5B953DC6"/>
    <w:rsid w:val="5BE3798D"/>
    <w:rsid w:val="5BF925A6"/>
    <w:rsid w:val="5BFD098A"/>
    <w:rsid w:val="5CBA7B47"/>
    <w:rsid w:val="5D5548DE"/>
    <w:rsid w:val="5DB76275"/>
    <w:rsid w:val="5DDA4421"/>
    <w:rsid w:val="5DDD00C7"/>
    <w:rsid w:val="5F531FCE"/>
    <w:rsid w:val="5F7D6990"/>
    <w:rsid w:val="5F8C3B27"/>
    <w:rsid w:val="5FFC4413"/>
    <w:rsid w:val="60487659"/>
    <w:rsid w:val="60AD55FB"/>
    <w:rsid w:val="616404C2"/>
    <w:rsid w:val="617862D8"/>
    <w:rsid w:val="61C55405"/>
    <w:rsid w:val="61C82C3D"/>
    <w:rsid w:val="623E6F65"/>
    <w:rsid w:val="62F03E09"/>
    <w:rsid w:val="631D4379"/>
    <w:rsid w:val="63593BEF"/>
    <w:rsid w:val="639D7FC8"/>
    <w:rsid w:val="644A2028"/>
    <w:rsid w:val="64A97104"/>
    <w:rsid w:val="64B90B25"/>
    <w:rsid w:val="64D14071"/>
    <w:rsid w:val="654943D9"/>
    <w:rsid w:val="65732701"/>
    <w:rsid w:val="66580F6F"/>
    <w:rsid w:val="66911D59"/>
    <w:rsid w:val="67173B0B"/>
    <w:rsid w:val="68061B44"/>
    <w:rsid w:val="68B603B2"/>
    <w:rsid w:val="68C61387"/>
    <w:rsid w:val="68D41207"/>
    <w:rsid w:val="69826331"/>
    <w:rsid w:val="69D04A3B"/>
    <w:rsid w:val="6AA236F1"/>
    <w:rsid w:val="6AE8199A"/>
    <w:rsid w:val="6AFE1501"/>
    <w:rsid w:val="6B0105CC"/>
    <w:rsid w:val="6B453112"/>
    <w:rsid w:val="6B574083"/>
    <w:rsid w:val="6CC21212"/>
    <w:rsid w:val="6CDC7AA6"/>
    <w:rsid w:val="6D6909CD"/>
    <w:rsid w:val="6DBC02D3"/>
    <w:rsid w:val="6E0C06BC"/>
    <w:rsid w:val="6E362857"/>
    <w:rsid w:val="6E563BD1"/>
    <w:rsid w:val="6E90674D"/>
    <w:rsid w:val="6ECF43A7"/>
    <w:rsid w:val="6F24489A"/>
    <w:rsid w:val="70C26BC4"/>
    <w:rsid w:val="71322A2A"/>
    <w:rsid w:val="71327C95"/>
    <w:rsid w:val="726C367A"/>
    <w:rsid w:val="727E2904"/>
    <w:rsid w:val="735D13CB"/>
    <w:rsid w:val="73722CE5"/>
    <w:rsid w:val="739B0528"/>
    <w:rsid w:val="74367A9C"/>
    <w:rsid w:val="75373A21"/>
    <w:rsid w:val="75412B9C"/>
    <w:rsid w:val="755F2CCE"/>
    <w:rsid w:val="766145E9"/>
    <w:rsid w:val="789631FF"/>
    <w:rsid w:val="793B3DA7"/>
    <w:rsid w:val="79746847"/>
    <w:rsid w:val="79DA6097"/>
    <w:rsid w:val="7ABF44E4"/>
    <w:rsid w:val="7BD61B65"/>
    <w:rsid w:val="7BE10C35"/>
    <w:rsid w:val="7BFA19DA"/>
    <w:rsid w:val="7D4F51BD"/>
    <w:rsid w:val="7D5611AF"/>
    <w:rsid w:val="7DBC2663"/>
    <w:rsid w:val="7DCC7E3B"/>
    <w:rsid w:val="7EB1275E"/>
    <w:rsid w:val="7F76088F"/>
    <w:rsid w:val="7F9F52D8"/>
    <w:rsid w:val="7FC9192D"/>
    <w:rsid w:val="B7DED710"/>
    <w:rsid w:val="C667DC9A"/>
    <w:rsid w:val="F9F73A3D"/>
    <w:rsid w:val="F9F7E08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bidi w:val="0"/>
      <w:spacing w:before="50" w:beforeLines="50" w:after="50" w:afterLines="50"/>
      <w:jc w:val="left"/>
    </w:pPr>
    <w:rPr>
      <w:rFonts w:ascii="宋体" w:hAnsi="宋体" w:eastAsia="宋体" w:cs="宋体"/>
      <w:kern w:val="2"/>
      <w:sz w:val="24"/>
      <w:szCs w:val="24"/>
      <w:lang w:val="en-US" w:eastAsia="zh-CN" w:bidi="ar-SA"/>
    </w:rPr>
  </w:style>
  <w:style w:type="paragraph" w:styleId="2">
    <w:name w:val="heading 1"/>
    <w:basedOn w:val="1"/>
    <w:next w:val="1"/>
    <w:qFormat/>
    <w:uiPriority w:val="0"/>
    <w:pPr>
      <w:keepNext w:val="0"/>
      <w:keepLines w:val="0"/>
      <w:pageBreakBefore/>
      <w:wordWrap w:val="0"/>
      <w:spacing w:before="50" w:beforeLines="50" w:beforeAutospacing="0" w:after="50" w:afterLines="50" w:afterAutospacing="0" w:line="240" w:lineRule="auto"/>
      <w:ind w:left="0" w:firstLine="0"/>
      <w:jc w:val="center"/>
      <w:outlineLvl w:val="0"/>
    </w:pPr>
    <w:rPr>
      <w:b/>
      <w:kern w:val="44"/>
    </w:rPr>
  </w:style>
  <w:style w:type="paragraph" w:styleId="3">
    <w:name w:val="heading 2"/>
    <w:basedOn w:val="1"/>
    <w:next w:val="1"/>
    <w:unhideWhenUsed/>
    <w:qFormat/>
    <w:uiPriority w:val="0"/>
    <w:pPr>
      <w:keepNext w:val="0"/>
      <w:keepLines w:val="0"/>
      <w:pageBreakBefore/>
      <w:spacing w:before="50" w:beforeLines="50" w:beforeAutospacing="0" w:after="50" w:afterLines="50" w:afterAutospacing="0" w:line="240" w:lineRule="auto"/>
      <w:ind w:left="0"/>
      <w:jc w:val="center"/>
      <w:outlineLvl w:val="1"/>
    </w:pPr>
    <w:rPr>
      <w:b/>
    </w:rPr>
  </w:style>
  <w:style w:type="paragraph" w:styleId="4">
    <w:name w:val="heading 3"/>
    <w:basedOn w:val="1"/>
    <w:next w:val="1"/>
    <w:semiHidden/>
    <w:unhideWhenUsed/>
    <w:qFormat/>
    <w:uiPriority w:val="0"/>
    <w:pPr>
      <w:keepNext w:val="0"/>
      <w:keepLines w:val="0"/>
      <w:pageBreakBefore/>
      <w:spacing w:before="50" w:beforeLines="50" w:beforeAutospacing="0" w:after="50" w:afterLines="50" w:afterAutospacing="0" w:line="240" w:lineRule="auto"/>
      <w:jc w:val="center"/>
      <w:outlineLvl w:val="2"/>
    </w:pPr>
    <w:rPr>
      <w:rFonts w:ascii="宋体" w:hAnsi="宋体" w:eastAsia="宋体" w:cs="宋体"/>
      <w:b/>
    </w:rPr>
  </w:style>
  <w:style w:type="paragraph" w:styleId="5">
    <w:name w:val="heading 4"/>
    <w:basedOn w:val="1"/>
    <w:next w:val="1"/>
    <w:semiHidden/>
    <w:unhideWhenUsed/>
    <w:qFormat/>
    <w:uiPriority w:val="0"/>
    <w:pPr>
      <w:keepNext w:val="0"/>
      <w:keepLines w:val="0"/>
      <w:pageBreakBefore/>
      <w:spacing w:beforeLines="50" w:beforeAutospacing="0" w:afterLines="50" w:afterAutospacing="0" w:line="240" w:lineRule="auto"/>
      <w:ind w:left="0" w:firstLine="0"/>
      <w:jc w:val="center"/>
      <w:outlineLvl w:val="3"/>
    </w:pPr>
    <w:rPr>
      <w:rFonts w:ascii="宋体" w:hAnsi="宋体" w:eastAsia="宋体"/>
      <w:b/>
    </w:rPr>
  </w:style>
  <w:style w:type="paragraph" w:styleId="6">
    <w:name w:val="heading 5"/>
    <w:basedOn w:val="1"/>
    <w:next w:val="1"/>
    <w:semiHidden/>
    <w:unhideWhenUsed/>
    <w:qFormat/>
    <w:uiPriority w:val="0"/>
    <w:pPr>
      <w:keepNext w:val="0"/>
      <w:keepLines w:val="0"/>
      <w:pageBreakBefore/>
      <w:spacing w:before="50" w:beforeLines="50" w:beforeAutospacing="0" w:after="50" w:afterLines="50" w:afterAutospacing="0" w:line="240" w:lineRule="auto"/>
      <w:jc w:val="center"/>
      <w:outlineLvl w:val="4"/>
    </w:pPr>
    <w:rPr>
      <w:rFonts w:ascii="宋体" w:hAnsi="宋体" w:eastAsia="宋体" w:cs="宋体"/>
      <w:b/>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7">
    <w:name w:val="Body Text"/>
    <w:basedOn w:val="1"/>
    <w:qFormat/>
    <w:uiPriority w:val="0"/>
    <w:pPr>
      <w:spacing w:after="120" w:afterLines="0" w:afterAutospacing="0"/>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next w:val="1"/>
    <w:qFormat/>
    <w:uiPriority w:val="0"/>
    <w:pPr>
      <w:widowControl/>
      <w:spacing w:before="100" w:beforeLines="0" w:beforeAutospacing="1" w:after="100" w:afterLines="0" w:afterAutospacing="1"/>
      <w:jc w:val="left"/>
    </w:pPr>
    <w:rPr>
      <w:rFonts w:ascii="宋体" w:hAnsi="宋体" w:eastAsia="宋体"/>
      <w:kern w:val="0"/>
    </w:rPr>
  </w:style>
  <w:style w:type="character" w:styleId="13">
    <w:name w:val="Strong"/>
    <w:basedOn w:val="12"/>
    <w:qFormat/>
    <w:uiPriority w:val="0"/>
    <w:rPr>
      <w:b/>
    </w:rPr>
  </w:style>
  <w:style w:type="paragraph" w:customStyle="1" w:styleId="14">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Pages>
  <Words>3418</Words>
  <Characters>3464</Characters>
  <TotalTime>45</TotalTime>
  <ScaleCrop>false</ScaleCrop>
  <LinksUpToDate>false</LinksUpToDate>
  <CharactersWithSpaces>3566</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2026-09-09T18:11:00Z</dcterms:created>
  <dc:creator>Data</dc:creator>
  <cp:lastModifiedBy>沈晓华</cp:lastModifiedBy>
  <cp:lastPrinted>2026-09-21T09:25:00Z</cp:lastPrinted>
  <dcterms:modified xsi:type="dcterms:W3CDTF">2026-10-09T03:31:25Z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F49A0A74B4270EAEA2C7A06A7523A376_42</vt:lpwstr>
  </property>
  <property fmtid="{D5CDD505-2E9C-101B-9397-08002B2CF9AE}" pid="4" name="KSOTemplateDocerSaveRecord">
    <vt:lpwstr>eyJoZGlkIjoiYzIzZGZjNWRhNjg3NjA4MTY3NWZjM2YzNWQzNjE0MmIiLCJ1c2VySWQiOiI0NDYwODU0MjMifQ==</vt:lpwstr>
  </property>
</Properties>
</file>