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F02E7C">
      <w:pPr>
        <w:rPr>
          <w:sz w:val="28"/>
          <w:szCs w:val="28"/>
        </w:rPr>
      </w:pPr>
      <w:r>
        <w:rPr>
          <w:rFonts w:hint="eastAsia"/>
          <w:sz w:val="28"/>
          <w:szCs w:val="28"/>
        </w:rPr>
        <w:t>附件1</w:t>
      </w:r>
    </w:p>
    <w:p w14:paraId="58D09F80">
      <w:pPr>
        <w:jc w:val="center"/>
        <w:rPr>
          <w:rFonts w:hint="eastAsia"/>
          <w:b/>
          <w:bCs/>
          <w:sz w:val="44"/>
          <w:szCs w:val="44"/>
        </w:rPr>
      </w:pPr>
      <w:r>
        <w:rPr>
          <w:rFonts w:hint="eastAsia"/>
          <w:b/>
          <w:bCs/>
          <w:sz w:val="44"/>
          <w:szCs w:val="44"/>
        </w:rPr>
        <w:t>采购要求</w:t>
      </w:r>
    </w:p>
    <w:p w14:paraId="1C87D01A">
      <w:pPr>
        <w:pStyle w:val="2"/>
      </w:pPr>
    </w:p>
    <w:p w14:paraId="04182BC4">
      <w:pPr>
        <w:rPr>
          <w:b/>
          <w:bCs/>
          <w:sz w:val="28"/>
          <w:szCs w:val="28"/>
        </w:rPr>
      </w:pPr>
      <w:r>
        <w:rPr>
          <w:rFonts w:hint="eastAsia"/>
          <w:b/>
          <w:bCs/>
          <w:sz w:val="28"/>
          <w:szCs w:val="28"/>
        </w:rPr>
        <w:t>一、项目名称：</w:t>
      </w:r>
      <w:r>
        <w:rPr>
          <w:rFonts w:hint="eastAsia" w:ascii="仿宋_GB2312" w:hAnsi="仿宋_GB2312" w:eastAsia="仿宋_GB2312" w:cs="仿宋_GB2312"/>
          <w:spacing w:val="-6"/>
          <w:sz w:val="32"/>
          <w:szCs w:val="32"/>
          <w:shd w:val="clear" w:color="auto" w:fill="FFFFFF"/>
        </w:rPr>
        <w:t>福建省“两品一械”产业对接服务</w:t>
      </w:r>
    </w:p>
    <w:p w14:paraId="1D7DC66E">
      <w:pPr>
        <w:rPr>
          <w:sz w:val="28"/>
          <w:szCs w:val="28"/>
        </w:rPr>
      </w:pPr>
      <w:r>
        <w:rPr>
          <w:rFonts w:hint="eastAsia"/>
          <w:b/>
          <w:bCs/>
          <w:sz w:val="28"/>
          <w:szCs w:val="28"/>
        </w:rPr>
        <w:t>二、项目最高限价上限：100000</w:t>
      </w:r>
      <w:r>
        <w:rPr>
          <w:rFonts w:hint="eastAsia"/>
          <w:sz w:val="28"/>
          <w:szCs w:val="28"/>
        </w:rPr>
        <w:t>元</w:t>
      </w:r>
    </w:p>
    <w:p w14:paraId="42886C2E">
      <w:pPr>
        <w:rPr>
          <w:rFonts w:hint="eastAsia" w:ascii="Times New Roman" w:hAnsi="Times New Roman"/>
          <w:b/>
          <w:bCs/>
          <w:sz w:val="28"/>
          <w:szCs w:val="28"/>
        </w:rPr>
      </w:pPr>
      <w:r>
        <w:rPr>
          <w:rFonts w:hint="eastAsia"/>
          <w:b/>
          <w:bCs/>
          <w:sz w:val="28"/>
          <w:szCs w:val="28"/>
        </w:rPr>
        <w:t>三、中标办法：</w:t>
      </w:r>
      <w:r>
        <w:rPr>
          <w:rFonts w:hint="eastAsia"/>
          <w:sz w:val="28"/>
          <w:szCs w:val="28"/>
        </w:rPr>
        <w:t>符合采购要求的邀请报价人</w:t>
      </w:r>
      <w:r>
        <w:rPr>
          <w:rFonts w:hint="eastAsia" w:ascii="Times New Roman" w:hAnsi="Times New Roman"/>
          <w:sz w:val="28"/>
          <w:szCs w:val="28"/>
        </w:rPr>
        <w:t>，按报价由低到高的顺序推选最低价者中标。</w:t>
      </w:r>
    </w:p>
    <w:p w14:paraId="535CECD1">
      <w:pPr>
        <w:pStyle w:val="2"/>
        <w:rPr>
          <w:rFonts w:hint="default"/>
        </w:rPr>
      </w:pPr>
      <w:r>
        <w:rPr>
          <w:rFonts w:hint="eastAsia" w:ascii="Times New Roman" w:hAnsi="Times New Roman"/>
          <w:b/>
          <w:bCs/>
          <w:sz w:val="28"/>
          <w:szCs w:val="28"/>
        </w:rPr>
        <w:t>四、服务期限：</w:t>
      </w:r>
      <w:r>
        <w:rPr>
          <w:rFonts w:hint="eastAsia" w:ascii="Times New Roman" w:hAnsi="Times New Roman"/>
          <w:sz w:val="28"/>
          <w:szCs w:val="28"/>
        </w:rPr>
        <w:t>合同签订生效之日起一年。</w:t>
      </w:r>
    </w:p>
    <w:p w14:paraId="0A49BB6E">
      <w:pPr>
        <w:rPr>
          <w:rFonts w:hint="eastAsia" w:ascii="Times New Roman" w:hAnsi="Times New Roman"/>
          <w:b/>
          <w:bCs/>
          <w:sz w:val="28"/>
          <w:szCs w:val="28"/>
        </w:rPr>
      </w:pPr>
      <w:r>
        <w:rPr>
          <w:rFonts w:hint="eastAsia" w:ascii="Times New Roman" w:hAnsi="Times New Roman"/>
          <w:b/>
          <w:bCs/>
          <w:sz w:val="28"/>
          <w:szCs w:val="28"/>
        </w:rPr>
        <w:t>五、技术服务内容及服务要求：</w:t>
      </w:r>
    </w:p>
    <w:tbl>
      <w:tblPr>
        <w:tblStyle w:val="3"/>
        <w:tblW w:w="907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85" w:type="dxa"/>
        </w:tblCellMar>
      </w:tblPr>
      <w:tblGrid>
        <w:gridCol w:w="1477"/>
        <w:gridCol w:w="5486"/>
        <w:gridCol w:w="1055"/>
        <w:gridCol w:w="1055"/>
      </w:tblGrid>
      <w:tr w14:paraId="53ADC286">
        <w:trPr>
          <w:trHeight w:val="285" w:hRule="atLeast"/>
          <w:jc w:val="center"/>
        </w:trPr>
        <w:tc>
          <w:tcPr>
            <w:tcW w:w="6963" w:type="dxa"/>
            <w:gridSpan w:val="2"/>
            <w:tcBorders>
              <w:top w:val="double" w:color="auto" w:sz="4" w:space="0"/>
              <w:left w:val="double" w:color="auto" w:sz="4" w:space="0"/>
              <w:bottom w:val="single" w:color="auto" w:sz="6" w:space="0"/>
              <w:right w:val="single" w:color="auto" w:sz="6" w:space="0"/>
            </w:tcBorders>
            <w:noWrap w:val="0"/>
            <w:vAlign w:val="center"/>
          </w:tcPr>
          <w:p w14:paraId="1B066A2B">
            <w:pPr>
              <w:widowControl/>
              <w:spacing w:line="300" w:lineRule="exact"/>
              <w:jc w:val="center"/>
              <w:rPr>
                <w:rFonts w:ascii="宋体" w:hAnsi="宋体"/>
                <w:sz w:val="24"/>
              </w:rPr>
            </w:pPr>
            <w:r>
              <w:rPr>
                <w:rFonts w:hint="eastAsia" w:ascii="宋体" w:hAnsi="宋体"/>
                <w:sz w:val="24"/>
              </w:rPr>
              <w:t>服务名称</w:t>
            </w:r>
          </w:p>
        </w:tc>
        <w:tc>
          <w:tcPr>
            <w:tcW w:w="1055" w:type="dxa"/>
            <w:tcBorders>
              <w:top w:val="double" w:color="auto" w:sz="4" w:space="0"/>
              <w:left w:val="single" w:color="auto" w:sz="6" w:space="0"/>
              <w:bottom w:val="single" w:color="auto" w:sz="6" w:space="0"/>
              <w:right w:val="single" w:color="auto" w:sz="6" w:space="0"/>
            </w:tcBorders>
            <w:noWrap w:val="0"/>
            <w:vAlign w:val="center"/>
          </w:tcPr>
          <w:p w14:paraId="79C47D46">
            <w:pPr>
              <w:widowControl/>
              <w:spacing w:line="300" w:lineRule="exact"/>
              <w:jc w:val="center"/>
              <w:rPr>
                <w:rFonts w:ascii="宋体" w:hAnsi="宋体"/>
                <w:sz w:val="24"/>
              </w:rPr>
            </w:pPr>
            <w:r>
              <w:rPr>
                <w:rFonts w:ascii="宋体" w:hAnsi="宋体"/>
                <w:sz w:val="24"/>
              </w:rPr>
              <w:t>单位</w:t>
            </w:r>
          </w:p>
        </w:tc>
        <w:tc>
          <w:tcPr>
            <w:tcW w:w="1055" w:type="dxa"/>
            <w:tcBorders>
              <w:top w:val="double" w:color="auto" w:sz="4" w:space="0"/>
              <w:left w:val="single" w:color="auto" w:sz="6" w:space="0"/>
              <w:bottom w:val="single" w:color="auto" w:sz="6" w:space="0"/>
              <w:right w:val="double" w:color="auto" w:sz="4" w:space="0"/>
            </w:tcBorders>
            <w:noWrap w:val="0"/>
            <w:vAlign w:val="center"/>
          </w:tcPr>
          <w:p w14:paraId="55946E92">
            <w:pPr>
              <w:widowControl/>
              <w:spacing w:line="300" w:lineRule="exact"/>
              <w:jc w:val="center"/>
              <w:rPr>
                <w:rFonts w:ascii="宋体" w:hAnsi="宋体"/>
                <w:sz w:val="24"/>
              </w:rPr>
            </w:pPr>
            <w:r>
              <w:rPr>
                <w:rFonts w:ascii="宋体" w:hAnsi="宋体"/>
                <w:sz w:val="24"/>
              </w:rPr>
              <w:t>数量</w:t>
            </w:r>
          </w:p>
        </w:tc>
      </w:tr>
      <w:tr w14:paraId="19381D75">
        <w:trPr>
          <w:trHeight w:val="285" w:hRule="atLeast"/>
          <w:jc w:val="center"/>
        </w:trPr>
        <w:tc>
          <w:tcPr>
            <w:tcW w:w="6963" w:type="dxa"/>
            <w:gridSpan w:val="2"/>
            <w:tcBorders>
              <w:top w:val="single" w:color="auto" w:sz="6" w:space="0"/>
              <w:left w:val="double" w:color="auto" w:sz="4" w:space="0"/>
              <w:bottom w:val="single" w:color="auto" w:sz="6" w:space="0"/>
              <w:right w:val="single" w:color="auto" w:sz="6" w:space="0"/>
            </w:tcBorders>
            <w:noWrap w:val="0"/>
            <w:vAlign w:val="center"/>
          </w:tcPr>
          <w:p w14:paraId="5BA3B3FB">
            <w:pPr>
              <w:widowControl/>
              <w:spacing w:line="300" w:lineRule="exact"/>
              <w:jc w:val="center"/>
              <w:rPr>
                <w:rFonts w:ascii="宋体" w:hAnsi="宋体"/>
                <w:sz w:val="24"/>
              </w:rPr>
            </w:pPr>
            <w:r>
              <w:rPr>
                <w:rFonts w:hint="eastAsia" w:ascii="宋体" w:hAnsi="宋体"/>
                <w:sz w:val="24"/>
              </w:rPr>
              <w:t>福建省“两品一械”产业对接服务</w:t>
            </w:r>
          </w:p>
        </w:tc>
        <w:tc>
          <w:tcPr>
            <w:tcW w:w="1055" w:type="dxa"/>
            <w:tcBorders>
              <w:top w:val="single" w:color="auto" w:sz="6" w:space="0"/>
              <w:left w:val="single" w:color="auto" w:sz="6" w:space="0"/>
              <w:bottom w:val="single" w:color="auto" w:sz="6" w:space="0"/>
              <w:right w:val="single" w:color="auto" w:sz="6" w:space="0"/>
            </w:tcBorders>
            <w:noWrap w:val="0"/>
            <w:vAlign w:val="center"/>
          </w:tcPr>
          <w:p w14:paraId="1119D272">
            <w:pPr>
              <w:widowControl/>
              <w:spacing w:line="300" w:lineRule="exact"/>
              <w:jc w:val="center"/>
              <w:rPr>
                <w:rFonts w:ascii="宋体" w:hAnsi="宋体"/>
                <w:sz w:val="24"/>
              </w:rPr>
            </w:pPr>
            <w:r>
              <w:rPr>
                <w:rFonts w:hint="eastAsia" w:ascii="宋体" w:hAnsi="宋体"/>
                <w:sz w:val="24"/>
              </w:rPr>
              <w:t>年</w:t>
            </w:r>
          </w:p>
        </w:tc>
        <w:tc>
          <w:tcPr>
            <w:tcW w:w="1055" w:type="dxa"/>
            <w:tcBorders>
              <w:top w:val="single" w:color="auto" w:sz="6" w:space="0"/>
              <w:left w:val="single" w:color="auto" w:sz="6" w:space="0"/>
              <w:bottom w:val="single" w:color="auto" w:sz="6" w:space="0"/>
              <w:right w:val="double" w:color="auto" w:sz="4" w:space="0"/>
            </w:tcBorders>
            <w:noWrap w:val="0"/>
            <w:vAlign w:val="center"/>
          </w:tcPr>
          <w:p w14:paraId="721A2E8D">
            <w:pPr>
              <w:widowControl/>
              <w:spacing w:line="300" w:lineRule="exact"/>
              <w:jc w:val="center"/>
              <w:rPr>
                <w:rFonts w:ascii="宋体" w:hAnsi="宋体"/>
                <w:sz w:val="24"/>
              </w:rPr>
            </w:pPr>
            <w:r>
              <w:rPr>
                <w:rFonts w:hint="eastAsia" w:ascii="宋体" w:hAnsi="宋体"/>
                <w:sz w:val="24"/>
              </w:rPr>
              <w:t>1</w:t>
            </w:r>
          </w:p>
        </w:tc>
      </w:tr>
      <w:tr w14:paraId="64AAB1A8">
        <w:trPr>
          <w:trHeight w:val="285" w:hRule="atLeast"/>
          <w:jc w:val="center"/>
        </w:trPr>
        <w:tc>
          <w:tcPr>
            <w:tcW w:w="9073" w:type="dxa"/>
            <w:gridSpan w:val="4"/>
            <w:tcBorders>
              <w:top w:val="single" w:color="auto" w:sz="6" w:space="0"/>
              <w:left w:val="double" w:color="auto" w:sz="4" w:space="0"/>
              <w:bottom w:val="single" w:color="auto" w:sz="6" w:space="0"/>
              <w:right w:val="double" w:color="auto" w:sz="4" w:space="0"/>
            </w:tcBorders>
            <w:noWrap w:val="0"/>
            <w:tcMar>
              <w:top w:w="0" w:type="dxa"/>
              <w:left w:w="108" w:type="dxa"/>
              <w:bottom w:w="0" w:type="dxa"/>
              <w:right w:w="108" w:type="dxa"/>
            </w:tcMar>
            <w:vAlign w:val="center"/>
          </w:tcPr>
          <w:p w14:paraId="28AEEDEE">
            <w:pPr>
              <w:widowControl/>
              <w:spacing w:line="300" w:lineRule="exact"/>
              <w:jc w:val="left"/>
              <w:rPr>
                <w:rFonts w:ascii="宋体" w:hAnsi="宋体"/>
                <w:sz w:val="24"/>
              </w:rPr>
            </w:pPr>
            <w:r>
              <w:rPr>
                <w:rFonts w:ascii="宋体" w:hAnsi="宋体"/>
                <w:sz w:val="24"/>
              </w:rPr>
              <w:t>技术指标及相关要求：</w:t>
            </w:r>
          </w:p>
        </w:tc>
      </w:tr>
      <w:tr w14:paraId="3B194DA8">
        <w:trPr>
          <w:trHeight w:val="285" w:hRule="atLeast"/>
          <w:jc w:val="center"/>
        </w:trPr>
        <w:tc>
          <w:tcPr>
            <w:tcW w:w="1477" w:type="dxa"/>
            <w:tcBorders>
              <w:top w:val="single" w:color="auto" w:sz="6" w:space="0"/>
              <w:left w:val="double" w:color="auto" w:sz="4" w:space="0"/>
              <w:bottom w:val="single" w:color="auto" w:sz="6" w:space="0"/>
              <w:right w:val="single" w:color="auto" w:sz="6" w:space="0"/>
            </w:tcBorders>
            <w:noWrap w:val="0"/>
            <w:vAlign w:val="center"/>
          </w:tcPr>
          <w:p w14:paraId="18494E8E">
            <w:pPr>
              <w:widowControl/>
              <w:spacing w:line="300" w:lineRule="exact"/>
              <w:jc w:val="center"/>
              <w:rPr>
                <w:rFonts w:ascii="宋体" w:hAnsi="宋体"/>
                <w:sz w:val="24"/>
              </w:rPr>
            </w:pPr>
            <w:r>
              <w:rPr>
                <w:rFonts w:hint="eastAsia" w:ascii="宋体" w:hAnsi="宋体"/>
                <w:sz w:val="24"/>
              </w:rPr>
              <w:t>服务内容</w:t>
            </w:r>
          </w:p>
        </w:tc>
        <w:tc>
          <w:tcPr>
            <w:tcW w:w="7596" w:type="dxa"/>
            <w:gridSpan w:val="3"/>
            <w:tcBorders>
              <w:top w:val="single" w:color="auto" w:sz="6" w:space="0"/>
              <w:left w:val="single" w:color="auto" w:sz="6" w:space="0"/>
              <w:bottom w:val="single" w:color="auto" w:sz="6" w:space="0"/>
              <w:right w:val="double" w:color="auto" w:sz="4" w:space="0"/>
            </w:tcBorders>
            <w:noWrap w:val="0"/>
            <w:vAlign w:val="center"/>
          </w:tcPr>
          <w:p w14:paraId="4D07FC6B">
            <w:pPr>
              <w:pStyle w:val="2"/>
              <w:snapToGrid w:val="0"/>
              <w:ind w:firstLine="480" w:firstLineChars="200"/>
              <w:rPr>
                <w:rFonts w:hint="eastAsia" w:ascii="宋体" w:hAnsi="宋体" w:cs="仿宋_GB2312"/>
              </w:rPr>
            </w:pPr>
            <w:r>
              <w:rPr>
                <w:rFonts w:hint="eastAsia" w:ascii="宋体" w:hAnsi="宋体" w:cs="仿宋_GB2312"/>
              </w:rPr>
              <w:t>本服务需在福建省药监局网站设置互联网访问入口，同时服务数据统一</w:t>
            </w:r>
            <w:r>
              <w:rPr>
                <w:rFonts w:hint="default" w:ascii="宋体" w:hAnsi="宋体" w:cs="仿宋_GB2312"/>
              </w:rPr>
              <w:t>汇聚到</w:t>
            </w:r>
            <w:r>
              <w:rPr>
                <w:rFonts w:hint="eastAsia" w:ascii="宋体" w:hAnsi="宋体" w:cs="仿宋_GB2312"/>
              </w:rPr>
              <w:t>福建省药品智慧监管平台，提供“两品一械”供需双方快速对接匹配的综合信息展示服务，实现产业链上下游相关资源的高效对接，从而降低企业运营成本，促进产业创新，提高产业发展质量与效率。重点在以下几方面提供信息对接服务：</w:t>
            </w:r>
          </w:p>
          <w:p w14:paraId="53151BBB">
            <w:pPr>
              <w:pStyle w:val="2"/>
              <w:snapToGrid w:val="0"/>
              <w:ind w:firstLine="480" w:firstLineChars="200"/>
              <w:rPr>
                <w:rFonts w:hint="eastAsia" w:ascii="宋体" w:hAnsi="宋体" w:cs="仿宋_GB2312"/>
              </w:rPr>
            </w:pPr>
            <w:r>
              <w:rPr>
                <w:rFonts w:hint="eastAsia" w:ascii="宋体" w:hAnsi="宋体" w:cs="仿宋_GB2312"/>
              </w:rPr>
              <w:t>一、药品领域</w:t>
            </w:r>
          </w:p>
          <w:p w14:paraId="25F4B32C">
            <w:pPr>
              <w:pStyle w:val="2"/>
              <w:snapToGrid w:val="0"/>
              <w:ind w:firstLine="480" w:firstLineChars="200"/>
              <w:rPr>
                <w:rFonts w:hint="eastAsia" w:ascii="宋体" w:hAnsi="宋体" w:cs="仿宋_GB2312"/>
              </w:rPr>
            </w:pPr>
            <w:r>
              <w:rPr>
                <w:rFonts w:hint="eastAsia" w:ascii="宋体" w:hAnsi="宋体" w:cs="仿宋_GB2312"/>
              </w:rPr>
              <w:t>（一）委托和受托生产。提供一个覆盖全省、辐射区域、服务全国的“药品委托生产智能对接与转化服务”。</w:t>
            </w:r>
          </w:p>
          <w:p w14:paraId="5362DAAB">
            <w:pPr>
              <w:pStyle w:val="2"/>
              <w:snapToGrid w:val="0"/>
              <w:ind w:firstLine="480" w:firstLineChars="200"/>
              <w:rPr>
                <w:rFonts w:hint="eastAsia" w:ascii="宋体" w:hAnsi="宋体" w:cs="仿宋_GB2312"/>
              </w:rPr>
            </w:pPr>
            <w:r>
              <w:rPr>
                <w:rFonts w:hint="eastAsia" w:ascii="宋体" w:hAnsi="宋体" w:cs="仿宋_GB2312"/>
              </w:rPr>
              <w:t>（二）中药材GAP供需对接服务。打破“信息孤岛”，让中药生产企业“需要什么中药材”和中药材生产企业“供给什么中药材”信息对接。中药材生产企业将常年种植药材名称、注册地址、种植规模、中药材产量、联系人、联系方式等信息上传展示（部分信息在智慧监管平台中展示），中药生产企业通过登入系统查询中药材种植企业完整信息。</w:t>
            </w:r>
          </w:p>
          <w:p w14:paraId="5AF1A4C0">
            <w:pPr>
              <w:pStyle w:val="2"/>
              <w:snapToGrid w:val="0"/>
              <w:ind w:firstLine="480" w:firstLineChars="200"/>
              <w:rPr>
                <w:rFonts w:hint="eastAsia" w:ascii="宋体" w:hAnsi="宋体" w:cs="仿宋_GB2312"/>
              </w:rPr>
            </w:pPr>
            <w:r>
              <w:rPr>
                <w:rFonts w:hint="eastAsia" w:ascii="宋体" w:hAnsi="宋体" w:cs="仿宋_GB2312"/>
              </w:rPr>
              <w:t>二、医疗器械领域</w:t>
            </w:r>
          </w:p>
          <w:p w14:paraId="2C649A53">
            <w:pPr>
              <w:pStyle w:val="2"/>
              <w:snapToGrid w:val="0"/>
              <w:ind w:firstLine="480" w:firstLineChars="200"/>
              <w:rPr>
                <w:rFonts w:hint="eastAsia" w:ascii="宋体" w:hAnsi="宋体" w:cs="仿宋_GB2312"/>
              </w:rPr>
            </w:pPr>
            <w:r>
              <w:rPr>
                <w:rFonts w:hint="eastAsia" w:ascii="宋体" w:hAnsi="宋体" w:cs="仿宋_GB2312"/>
              </w:rPr>
              <w:t>（一）委托和受托生产。医疗器械研究机构、医务工作者、注册证持有人发布委托生产或合作生产需求，医疗器械生产企业发布其生产许可证生产范围、产能、洁净车间等级、生产场地面积、生产设备或者合作意愿。支持双方互选，线下洽谈细节，合作意向达成后，更新需求状态。</w:t>
            </w:r>
          </w:p>
          <w:p w14:paraId="1BACFBDF">
            <w:pPr>
              <w:pStyle w:val="2"/>
              <w:snapToGrid w:val="0"/>
              <w:ind w:firstLine="480" w:firstLineChars="200"/>
              <w:rPr>
                <w:rFonts w:hint="eastAsia" w:ascii="宋体" w:hAnsi="宋体" w:cs="仿宋_GB2312"/>
              </w:rPr>
            </w:pPr>
            <w:r>
              <w:rPr>
                <w:rFonts w:hint="eastAsia" w:ascii="宋体" w:hAnsi="宋体" w:cs="仿宋_GB2312"/>
              </w:rPr>
              <w:t>（二）出口订单分享合作。支持医疗器械生产企业发布自身产品品种信息、产能，由经营企业、出口企业或境外渠道商选择，双方匹配需求后可自行签约。</w:t>
            </w:r>
          </w:p>
          <w:p w14:paraId="7478114C">
            <w:pPr>
              <w:pStyle w:val="2"/>
              <w:snapToGrid w:val="0"/>
              <w:ind w:firstLine="480" w:firstLineChars="200"/>
              <w:rPr>
                <w:rFonts w:hint="eastAsia" w:ascii="宋体" w:hAnsi="宋体" w:cs="仿宋_GB2312"/>
              </w:rPr>
            </w:pPr>
            <w:r>
              <w:rPr>
                <w:rFonts w:hint="eastAsia" w:ascii="宋体" w:hAnsi="宋体" w:cs="仿宋_GB2312"/>
              </w:rPr>
              <w:t>（三）临床试验成果转化。打破信息壁垒，让临床试验研究成果与产业需求有效对接。一方面，展示医务人员临床研究成果的技术原理、适用范围等核心信息，经药监部门审评专家严格筛选审核后公开展示；另一方面，企业提交自身产品布局、研发能力、合规生产情况及合作意向，可在医务人员上传的临床研究成果中自主搜索、选择心仪的项目。通过这种“双向互选”模式，让临床研究者与生产企业精准牵手，破解以往“研找不到产、产寻不到研”的困境。</w:t>
            </w:r>
          </w:p>
          <w:p w14:paraId="58AA8B29">
            <w:pPr>
              <w:pStyle w:val="2"/>
              <w:snapToGrid w:val="0"/>
              <w:ind w:firstLine="480" w:firstLineChars="200"/>
              <w:rPr>
                <w:rFonts w:hint="eastAsia" w:ascii="宋体" w:hAnsi="宋体" w:cs="仿宋_GB2312"/>
              </w:rPr>
            </w:pPr>
            <w:r>
              <w:rPr>
                <w:rFonts w:hint="eastAsia" w:ascii="宋体" w:hAnsi="宋体" w:cs="仿宋_GB2312"/>
              </w:rPr>
              <w:t>三、化妆品领域</w:t>
            </w:r>
          </w:p>
          <w:p w14:paraId="5C0CC5CD">
            <w:pPr>
              <w:pStyle w:val="2"/>
              <w:snapToGrid w:val="0"/>
              <w:ind w:firstLine="480" w:firstLineChars="200"/>
              <w:rPr>
                <w:rFonts w:hint="eastAsia" w:ascii="宋体" w:hAnsi="宋体" w:cs="仿宋_GB2312"/>
              </w:rPr>
            </w:pPr>
            <w:r>
              <w:rPr>
                <w:rFonts w:hint="eastAsia" w:ascii="宋体" w:hAnsi="宋体" w:cs="仿宋_GB2312"/>
              </w:rPr>
              <w:t>（一）委托和受托生产。化妆品注册人、备案人发布委托生产需求，化妆品生产企业发布受托生产意愿。双方对接匹配后可有效满足市场需求，充分利用空闲产能。</w:t>
            </w:r>
          </w:p>
          <w:p w14:paraId="097C3E0C">
            <w:pPr>
              <w:pStyle w:val="2"/>
              <w:snapToGrid w:val="0"/>
              <w:ind w:firstLine="480" w:firstLineChars="200"/>
              <w:rPr>
                <w:rFonts w:hint="eastAsia" w:ascii="宋体" w:hAnsi="宋体" w:cs="仿宋_GB2312"/>
              </w:rPr>
            </w:pPr>
            <w:r>
              <w:rPr>
                <w:rFonts w:hint="eastAsia" w:ascii="宋体" w:hAnsi="宋体" w:cs="仿宋_GB2312"/>
              </w:rPr>
              <w:t>（二）原材料开发利用。化妆品产业链上游企业发布动植物类化妆品原料种养殖资源和化工原料开发利用、包装材料设计打样等信息，化妆品注册人、备案人和生产企业发布相关原材料选型和采购需求。</w:t>
            </w:r>
          </w:p>
          <w:p w14:paraId="0CD4C473">
            <w:pPr>
              <w:pStyle w:val="2"/>
              <w:snapToGrid w:val="0"/>
              <w:ind w:firstLine="480" w:firstLineChars="200"/>
              <w:rPr>
                <w:rFonts w:hint="eastAsia" w:ascii="宋体" w:hAnsi="宋体" w:cs="仿宋_GB2312"/>
              </w:rPr>
            </w:pPr>
            <w:r>
              <w:rPr>
                <w:rFonts w:hint="eastAsia" w:ascii="宋体" w:hAnsi="宋体" w:cs="仿宋_GB2312"/>
              </w:rPr>
              <w:t>（三）检验检测服务。化妆品检验机构发布检验资质、项目和业务承接能力等信息，化妆品注册人、备案人和生产企业发布检验需求。</w:t>
            </w:r>
          </w:p>
          <w:p w14:paraId="37974225">
            <w:pPr>
              <w:pStyle w:val="2"/>
              <w:snapToGrid w:val="0"/>
              <w:ind w:firstLine="480" w:firstLineChars="200"/>
              <w:rPr>
                <w:rFonts w:ascii="宋体" w:hAnsi="宋体"/>
              </w:rPr>
            </w:pPr>
            <w:r>
              <w:rPr>
                <w:rFonts w:hint="eastAsia" w:ascii="宋体" w:hAnsi="宋体" w:cs="仿宋_GB2312"/>
              </w:rPr>
              <w:t>（四）产业研发成果应用。化妆品企业、科研院所、第三方技术机构、行业协会发布化妆品领域产品配方、功效评价、安全评估、检验检测、质量规格等方面的科研技术、专利、标准、数据等知识产权成果，化妆品企业发布产品研发需求，双方对接匹配后可推动化妆品新原料、新产品、新功效等创新应用。</w:t>
            </w:r>
          </w:p>
        </w:tc>
      </w:tr>
      <w:tr w14:paraId="799F1191">
        <w:trPr>
          <w:trHeight w:val="285" w:hRule="atLeast"/>
          <w:jc w:val="center"/>
        </w:trPr>
        <w:tc>
          <w:tcPr>
            <w:tcW w:w="1477" w:type="dxa"/>
            <w:tcBorders>
              <w:top w:val="single" w:color="auto" w:sz="6" w:space="0"/>
              <w:left w:val="double" w:color="auto" w:sz="4" w:space="0"/>
              <w:bottom w:val="single" w:color="auto" w:sz="6" w:space="0"/>
              <w:right w:val="single" w:color="auto" w:sz="6" w:space="0"/>
            </w:tcBorders>
            <w:noWrap w:val="0"/>
            <w:vAlign w:val="center"/>
          </w:tcPr>
          <w:p w14:paraId="020DE12F">
            <w:pPr>
              <w:widowControl/>
              <w:spacing w:line="300" w:lineRule="exact"/>
              <w:jc w:val="center"/>
              <w:rPr>
                <w:rFonts w:hint="eastAsia" w:ascii="宋体" w:hAnsi="宋体"/>
                <w:sz w:val="24"/>
              </w:rPr>
            </w:pPr>
            <w:r>
              <w:rPr>
                <w:rFonts w:hint="eastAsia" w:ascii="宋体" w:hAnsi="宋体"/>
                <w:sz w:val="24"/>
              </w:rPr>
              <w:t>服务要求</w:t>
            </w:r>
          </w:p>
        </w:tc>
        <w:tc>
          <w:tcPr>
            <w:tcW w:w="7596" w:type="dxa"/>
            <w:gridSpan w:val="3"/>
            <w:tcBorders>
              <w:top w:val="single" w:color="auto" w:sz="6" w:space="0"/>
              <w:left w:val="single" w:color="auto" w:sz="6" w:space="0"/>
              <w:bottom w:val="single" w:color="auto" w:sz="6" w:space="0"/>
              <w:right w:val="double" w:color="auto" w:sz="4" w:space="0"/>
            </w:tcBorders>
            <w:noWrap w:val="0"/>
            <w:vAlign w:val="center"/>
          </w:tcPr>
          <w:p w14:paraId="7685149A">
            <w:pPr>
              <w:pStyle w:val="2"/>
              <w:snapToGrid w:val="0"/>
              <w:rPr>
                <w:rFonts w:hint="eastAsia" w:ascii="宋体" w:hAnsi="宋体" w:eastAsia="宋体" w:cs="仿宋_GB2312"/>
                <w:sz w:val="24"/>
              </w:rPr>
            </w:pPr>
            <w:r>
              <w:rPr>
                <w:rFonts w:hint="eastAsia" w:ascii="宋体" w:hAnsi="宋体" w:eastAsia="宋体" w:cs="仿宋_GB2312"/>
                <w:sz w:val="24"/>
              </w:rPr>
              <w:t>一、需在签订合同后30天内提供完整服务。成交人自行与福建省药品智慧监管平台建设方（福建省电子政务建设运营有限公司）协调数据接口等事宜并承担相关费用，自行承担与服务相关的所有软硬件、网络、系统安全防护和其它费用。</w:t>
            </w:r>
          </w:p>
          <w:p w14:paraId="1D5BFF5C">
            <w:pPr>
              <w:pStyle w:val="2"/>
              <w:snapToGrid w:val="0"/>
              <w:rPr>
                <w:rFonts w:hint="eastAsia" w:ascii="宋体" w:hAnsi="宋体" w:eastAsia="宋体" w:cs="仿宋_GB2312"/>
                <w:sz w:val="24"/>
              </w:rPr>
            </w:pPr>
            <w:r>
              <w:rPr>
                <w:rFonts w:hint="eastAsia" w:ascii="宋体" w:hAnsi="宋体" w:eastAsia="宋体" w:cs="仿宋_GB2312"/>
                <w:sz w:val="24"/>
              </w:rPr>
              <w:t>二、服务支持：服务期内，成交人须提供7×24小时应急响应机制，确保在任何时段出现服务异常或采购人紧急需求时能够快速介入处置。</w:t>
            </w:r>
          </w:p>
          <w:p w14:paraId="11B8EB05">
            <w:pPr>
              <w:pStyle w:val="2"/>
              <w:snapToGrid w:val="0"/>
              <w:rPr>
                <w:rFonts w:hint="eastAsia" w:ascii="宋体" w:hAnsi="宋体" w:eastAsia="宋体" w:cs="仿宋_GB2312"/>
                <w:sz w:val="24"/>
              </w:rPr>
            </w:pPr>
            <w:r>
              <w:rPr>
                <w:rFonts w:hint="eastAsia" w:ascii="宋体" w:hAnsi="宋体" w:eastAsia="宋体" w:cs="仿宋_GB2312"/>
                <w:sz w:val="24"/>
              </w:rPr>
              <w:t>三、服务响应时间：接到采购人通知后，法定工作日成交人须在1小时内实质响应，节假日期间成交人须在8小时内响应。对于影响业务连续性的重大问题，须在半小时内抵达现场并开展处置工作。</w:t>
            </w:r>
          </w:p>
          <w:p w14:paraId="7F67A3B2">
            <w:pPr>
              <w:pStyle w:val="2"/>
              <w:snapToGrid w:val="0"/>
              <w:rPr>
                <w:rFonts w:hint="eastAsia" w:ascii="宋体" w:hAnsi="宋体" w:eastAsia="宋体" w:cs="仿宋_GB2312"/>
                <w:sz w:val="24"/>
              </w:rPr>
            </w:pPr>
            <w:r>
              <w:rPr>
                <w:rFonts w:hint="eastAsia" w:ascii="宋体" w:hAnsi="宋体" w:eastAsia="宋体" w:cs="仿宋_GB2312"/>
                <w:sz w:val="24"/>
              </w:rPr>
              <w:t>四、数据安全能力：服务方须具备完善的数据安全管理体系，承诺在项目服务期内严格遵守并满足国家网络安全等级保护（三级）、数据安全法及个人信息保护法等相关法律法规要求。</w:t>
            </w:r>
          </w:p>
          <w:p w14:paraId="25335FBF">
            <w:pPr>
              <w:pStyle w:val="2"/>
              <w:snapToGrid w:val="0"/>
              <w:rPr>
                <w:rFonts w:ascii="宋体" w:hAnsi="宋体"/>
                <w:sz w:val="24"/>
              </w:rPr>
            </w:pPr>
            <w:r>
              <w:rPr>
                <w:rFonts w:hint="eastAsia" w:ascii="宋体" w:hAnsi="宋体" w:eastAsia="宋体" w:cs="仿宋_GB2312"/>
                <w:sz w:val="24"/>
              </w:rPr>
              <w:t>五、数据和成果所有权：本服务项目中产生的所有过程和结果数据、代码、相关文档为招标人所有。成交人不得以任何形式擅自复制、使用、转让或向第三方披露。</w:t>
            </w:r>
          </w:p>
        </w:tc>
      </w:tr>
      <w:tr w14:paraId="55D5ACD7">
        <w:trPr>
          <w:trHeight w:val="285" w:hRule="atLeast"/>
          <w:jc w:val="center"/>
        </w:trPr>
        <w:tc>
          <w:tcPr>
            <w:tcW w:w="1477" w:type="dxa"/>
            <w:tcBorders>
              <w:top w:val="single" w:color="auto" w:sz="6" w:space="0"/>
              <w:left w:val="double" w:color="auto" w:sz="4" w:space="0"/>
              <w:bottom w:val="single" w:color="auto" w:sz="6" w:space="0"/>
              <w:right w:val="single" w:color="auto" w:sz="6" w:space="0"/>
            </w:tcBorders>
            <w:noWrap w:val="0"/>
            <w:vAlign w:val="center"/>
          </w:tcPr>
          <w:p w14:paraId="403A5562">
            <w:pPr>
              <w:widowControl/>
              <w:spacing w:line="300" w:lineRule="exact"/>
              <w:jc w:val="center"/>
              <w:rPr>
                <w:rFonts w:hint="eastAsia" w:ascii="宋体" w:hAnsi="宋体"/>
                <w:sz w:val="24"/>
              </w:rPr>
            </w:pPr>
            <w:r>
              <w:rPr>
                <w:rFonts w:hint="eastAsia" w:ascii="宋体" w:hAnsi="宋体"/>
                <w:sz w:val="24"/>
              </w:rPr>
              <w:t>其他要求</w:t>
            </w:r>
          </w:p>
        </w:tc>
        <w:tc>
          <w:tcPr>
            <w:tcW w:w="7596" w:type="dxa"/>
            <w:gridSpan w:val="3"/>
            <w:tcBorders>
              <w:top w:val="single" w:color="auto" w:sz="6" w:space="0"/>
              <w:left w:val="single" w:color="auto" w:sz="6" w:space="0"/>
              <w:bottom w:val="single" w:color="auto" w:sz="6" w:space="0"/>
              <w:right w:val="double" w:color="auto" w:sz="4" w:space="0"/>
            </w:tcBorders>
            <w:noWrap w:val="0"/>
            <w:vAlign w:val="center"/>
          </w:tcPr>
          <w:p w14:paraId="7BD64BE4">
            <w:pPr>
              <w:pStyle w:val="2"/>
              <w:snapToGrid w:val="0"/>
              <w:rPr>
                <w:rFonts w:hint="eastAsia" w:ascii="宋体" w:hAnsi="宋体" w:eastAsia="宋体" w:cs="仿宋_GB2312"/>
                <w:sz w:val="24"/>
              </w:rPr>
            </w:pPr>
            <w:r>
              <w:rPr>
                <w:rFonts w:hint="eastAsia" w:ascii="宋体" w:hAnsi="宋体" w:eastAsia="宋体" w:cs="仿宋_GB2312"/>
                <w:sz w:val="24"/>
              </w:rPr>
              <w:t>一、成交人提供的服务或使用的产品、软件等应符合国家知识产权法律、法规的规定；成交人还应保证采购人不受到第三方关于侵犯知识产权及专利权、商标权或工业设计权等知识产权方面的指控，任何第三方如果提出此方面指控均与采购人无关，成交人应与第三方交涉，并承担可能发生的一切法律责任、费用和后果；若采购人因此而遭致损失，则成交人应赔偿该损失。</w:t>
            </w:r>
          </w:p>
          <w:p w14:paraId="050DEFBE">
            <w:pPr>
              <w:pStyle w:val="2"/>
              <w:snapToGrid w:val="0"/>
              <w:rPr>
                <w:rFonts w:hint="eastAsia" w:ascii="宋体" w:hAnsi="宋体" w:eastAsia="宋体" w:cs="仿宋_GB2312"/>
                <w:sz w:val="24"/>
              </w:rPr>
            </w:pPr>
            <w:r>
              <w:rPr>
                <w:rFonts w:hint="eastAsia" w:ascii="宋体" w:hAnsi="宋体" w:eastAsia="宋体" w:cs="仿宋_GB2312"/>
                <w:sz w:val="24"/>
              </w:rPr>
              <w:t>二、若成交人提供的服务或使用的产品、软件等不符合国家知识产权法律、法规的规定或被有关主管机关认定为侵权或假冒伪劣品，则成交人中标或成交资格将被取消；采购人还将按照有关法律、法规和规章的规定进行处理。</w:t>
            </w:r>
          </w:p>
          <w:p w14:paraId="42AA6A13">
            <w:pPr>
              <w:pStyle w:val="2"/>
              <w:snapToGrid w:val="0"/>
              <w:rPr>
                <w:rFonts w:hint="eastAsia" w:ascii="宋体" w:hAnsi="宋体" w:eastAsia="宋体" w:cs="仿宋_GB2312"/>
                <w:sz w:val="24"/>
              </w:rPr>
            </w:pPr>
            <w:r>
              <w:rPr>
                <w:rFonts w:hint="eastAsia" w:ascii="宋体" w:hAnsi="宋体" w:eastAsia="宋体" w:cs="仿宋_GB2312"/>
                <w:sz w:val="24"/>
              </w:rPr>
              <w:t>三、本项目不允许成交人以任何名义和理由在中标后将本项目的主体、非主体、关键性工作、非关键性工作进行转包、分包。在履行合同过程中如有发现，采购人有权单方终止合同。视为成交人违约，成交人违约对采购人造成的损失的，需另行支付相应的赔偿，并追究相关法律责任。</w:t>
            </w:r>
          </w:p>
          <w:p w14:paraId="659D24C1">
            <w:pPr>
              <w:pStyle w:val="2"/>
              <w:snapToGrid w:val="0"/>
              <w:rPr>
                <w:rFonts w:hint="eastAsia" w:ascii="宋体" w:hAnsi="宋体" w:eastAsia="宋体" w:cs="仿宋_GB2312"/>
                <w:sz w:val="24"/>
              </w:rPr>
            </w:pPr>
            <w:r>
              <w:rPr>
                <w:rFonts w:hint="eastAsia" w:ascii="宋体" w:hAnsi="宋体" w:eastAsia="宋体" w:cs="仿宋_GB2312"/>
                <w:sz w:val="24"/>
              </w:rPr>
              <w:t>四、本磋商文件未明确的其它约定事项或条款，待采购人与成交人签订合同时，由双方协商订立。其他商务要求详见合同模板。</w:t>
            </w:r>
          </w:p>
          <w:p w14:paraId="31ADB98D">
            <w:pPr>
              <w:pStyle w:val="2"/>
              <w:snapToGrid w:val="0"/>
              <w:rPr>
                <w:rFonts w:ascii="宋体" w:hAnsi="宋体"/>
                <w:sz w:val="24"/>
              </w:rPr>
            </w:pPr>
            <w:r>
              <w:rPr>
                <w:rFonts w:hint="eastAsia" w:ascii="宋体" w:hAnsi="宋体" w:eastAsia="宋体" w:cs="仿宋_GB2312"/>
                <w:sz w:val="24"/>
              </w:rPr>
              <w:t>五、本采购比选文件未明确的其它约定事项或条款，待采购人与成交供应商签订合同时，由双方协商订立。</w:t>
            </w:r>
          </w:p>
        </w:tc>
      </w:tr>
    </w:tbl>
    <w:p w14:paraId="3AB7974D">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FangSong_GB2312">
    <w:panose1 w:val="02010609030101010101"/>
    <w:charset w:val="86"/>
    <w:family w:val="auto"/>
    <w:pitch w:val="default"/>
    <w:sig w:usb0="00000001" w:usb1="080E0000" w:usb2="00000000" w:usb3="00000000" w:csb0="00040000" w:csb1="00000000"/>
  </w:font>
  <w:font w:name="FZXiaoBiaoSong-B05S">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87AF5F54"/>
    <w:rsid w:val="87AF5F54"/>
    <w:rsid w:val="FF6B22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line="380" w:lineRule="exact"/>
    </w:pPr>
    <w:rPr>
      <w:rFonts w:ascii="Calibri" w:hAnsi="Calibri" w:cs="Times New Roman"/>
      <w:sz w:val="24"/>
    </w:rPr>
  </w:style>
  <w:style w:type="paragraph" w:customStyle="1" w:styleId="5">
    <w:name w:val="题目"/>
    <w:basedOn w:val="1"/>
    <w:uiPriority w:val="0"/>
    <w:pPr>
      <w:spacing w:line="560" w:lineRule="exact"/>
      <w:ind w:firstLine="880" w:firstLineChars="200"/>
      <w:jc w:val="center"/>
    </w:pPr>
    <w:rPr>
      <w:rFonts w:hint="eastAsia" w:ascii="FangSong_GB2312" w:hAnsi="FangSong_GB2312" w:eastAsia="FZXiaoBiaoSong-B05S" w:cs="仿宋_GB2312"/>
      <w:color w:val="000000"/>
      <w:kern w:val="0"/>
      <w:sz w:val="36"/>
      <w:szCs w:val="31"/>
      <w:lang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2026-09-02T16:56:00Z</dcterms:created>
  <dc:creator>汤学明</dc:creator>
  <cp:lastModifiedBy>汤学明</cp:lastModifiedBy>
  <dcterms:modified xsi:type="dcterms:W3CDTF">2026-09-02T16:56:59Z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B238DB148F938E23D0E4976A5E95CF72_41</vt:lpwstr>
  </property>
</Properties>
</file>