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kinsoku/>
        <w:overflowPunct/>
        <w:topLinePunct w:val="0"/>
        <w:autoSpaceDE/>
        <w:autoSpaceDN/>
        <w:bidi w:val="0"/>
        <w:adjustRightInd/>
        <w:snapToGrid w:val="0"/>
        <w:spacing w:before="95" w:beforeLines="30" w:after="95" w:afterLines="3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综合评分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细则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投标文件满足招标文件全部实质性要求，且按照评审因素的量化指标评审得分（即评标总得分）最高的投标人为中标候选人。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每个投标人的评标总得分＝价格项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得分+技术项得分+商务项得分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各项评审因素的设置如下：</w:t>
      </w:r>
      <w:bookmarkStart w:id="0" w:name="_GoBack"/>
      <w:bookmarkEnd w:id="0"/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（一）价格项满分为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.00分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以满足全部招标要求且投标价格最低的报价为评标基准价，其价格得分为满分。其他供应商的价格分统一按下列公式计算：报价得分 = (评标基准价／投标报价) ×10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（注：满足招标文件要求且投标价格最低的投标报价为评标基准价。）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（二）技术项满分为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.00分</w:t>
      </w:r>
    </w:p>
    <w:tbl>
      <w:tblPr>
        <w:tblStyle w:val="11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215"/>
        <w:gridCol w:w="45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84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121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4549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描述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4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1.项目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实施方案</w:t>
            </w:r>
          </w:p>
        </w:tc>
        <w:tc>
          <w:tcPr>
            <w:tcW w:w="121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10.00</w:t>
            </w:r>
          </w:p>
        </w:tc>
        <w:tc>
          <w:tcPr>
            <w:tcW w:w="4549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提供组织实施方案并对其可操作性情况进行评价：方案完整细致，可操作性强，得8-10分；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方案基本完整、可操作性尚可，得4-7分；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方案不太完整、可操作性较差，得1-3分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；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没有相关描述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2.系统技术功能响应与匹配度 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.00</w:t>
            </w:r>
          </w:p>
        </w:tc>
        <w:tc>
          <w:tcPr>
            <w:tcW w:w="4549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根据投标人提供的软件功能清单，与招标要求的技术要求进行逐项比对：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完全满足或优于招标要求，核心功能无缺失，得25-28分；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基本满足（核心功能全部满足，非核心功能有少量偏差），得15-24分；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部分满足（核心功能有缺失或重大偏差），得5-14分；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完全不满足或不提供，得0分。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*(核心功能包括：三员管理、数字档案加工与处理、数据报送与接收（符合《干部人事档案数字化技术规范》（GB/T 33870-2017））、全套档案业务流程管理)*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3.系统先进性与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信创适配性 </w:t>
            </w:r>
          </w:p>
        </w:tc>
        <w:tc>
          <w:tcPr>
            <w:tcW w:w="121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15.00</w:t>
            </w:r>
          </w:p>
        </w:tc>
        <w:tc>
          <w:tcPr>
            <w:tcW w:w="4549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信创适配：提供与主流国产芯片（鲲鹏、飞腾等）、操作系统（麒麟、统信UOS）、数据库（达梦、人大金仓等）的兼容性互认证明。每提供一个有效证明得2分，最高得6分。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技术架构：基于国产化框架（如Java+国产数据库）开发，技术路线先进、可持续性强。优秀得4-5分，良好得2-3分，一般得1分。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数据迁移：提供详尽、安全、高效的数据迁移方案。优秀得4分，良好得2-3分，一般得1分。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4.保密方案</w:t>
            </w:r>
          </w:p>
        </w:tc>
        <w:tc>
          <w:tcPr>
            <w:tcW w:w="121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15.00</w:t>
            </w:r>
          </w:p>
        </w:tc>
        <w:tc>
          <w:tcPr>
            <w:tcW w:w="4549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针对干部人事档案信息的敏感性和信创要求，对数据安全、存储加密、操作审计、权限控制、应急响应等措施进行评审：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方案详细完整，安全措施严密，可行性极强，得12-15分；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方案较详细，有基本的安全保障措施，得6-11分；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方案不详细，安全性保障不足，得1-5分；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未提供方案，得0分。</w:t>
            </w:r>
          </w:p>
        </w:tc>
      </w:tr>
    </w:tbl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（三）商务项满分为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.00分</w:t>
      </w:r>
    </w:p>
    <w:tbl>
      <w:tblPr>
        <w:tblStyle w:val="11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1245"/>
        <w:gridCol w:w="459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69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124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4592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描述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投标人企业证书情况</w:t>
            </w:r>
          </w:p>
        </w:tc>
        <w:tc>
          <w:tcPr>
            <w:tcW w:w="124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.00</w:t>
            </w:r>
          </w:p>
        </w:tc>
        <w:tc>
          <w:tcPr>
            <w:tcW w:w="4592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1.质量管理体系认证：提供有效的ISO9001证书，得2分。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2.信息安全管理认证：提供有效的ISO27001或信息安全服务资质证书，得3分。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3.保密相关资质：具备国家保密局颁发的相关涉密资质（如国家秘密载体印制资质-涉密档案数字化），得3分。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(须提供证书复印件并加盖公章)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团队人员资质</w:t>
            </w:r>
          </w:p>
        </w:tc>
        <w:tc>
          <w:tcPr>
            <w:tcW w:w="124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6.00</w:t>
            </w:r>
          </w:p>
        </w:tc>
        <w:tc>
          <w:tcPr>
            <w:tcW w:w="4592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根据拟投入本项目的技术团队的有效资质情况进行评分：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1.拟投入的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成员具备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省级及以上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档案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主管部门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印制的档案岗位资格培训证书的，每有一人得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，本项满分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4分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；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2.拟投入的项目成员具备省级以上保密局颁发的保密培训证书的，提供得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分不提供不得分。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注：以上资料没有提供或提供不齐不得分。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单位业绩</w:t>
            </w:r>
          </w:p>
        </w:tc>
        <w:tc>
          <w:tcPr>
            <w:tcW w:w="124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6.00</w:t>
            </w:r>
          </w:p>
        </w:tc>
        <w:tc>
          <w:tcPr>
            <w:tcW w:w="4592" w:type="dxa"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提供单位简介；近三年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份以上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行政事业单位同类档案服务业绩合同复印件（同类项目业绩应包含干部人事档案数字化，否则不得分）。每提供一项得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分，最多得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分。（须加盖投标人公章）</w:t>
            </w:r>
          </w:p>
        </w:tc>
      </w:tr>
    </w:tbl>
    <w:p>
      <w:pPr>
        <w:keepNext w:val="0"/>
        <w:keepLines w:val="0"/>
        <w:kinsoku/>
        <w:overflowPunct/>
        <w:topLinePunct w:val="0"/>
        <w:autoSpaceDE/>
        <w:autoSpaceDN/>
        <w:bidi w:val="0"/>
        <w:adjustRightInd/>
        <w:snapToGrid w:val="0"/>
        <w:spacing w:before="95" w:beforeLines="30" w:after="95" w:afterLines="30" w:line="560" w:lineRule="exact"/>
        <w:textAlignment w:val="auto"/>
        <w:rPr>
          <w:rFonts w:hint="eastAsia"/>
          <w:highlight w:val="none"/>
        </w:rPr>
      </w:pPr>
    </w:p>
    <w:sectPr>
      <w:footerReference r:id="rId4" w:type="default"/>
      <w:pgSz w:w="11906" w:h="16838"/>
      <w:pgMar w:top="1134" w:right="1800" w:bottom="1134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DExZjRmODU3ZTNiMDI0MjFmMjZkMTdmOWJmZmYifQ=="/>
  </w:docVars>
  <w:rsids>
    <w:rsidRoot w:val="00000000"/>
    <w:rsid w:val="01E6072E"/>
    <w:rsid w:val="02F63430"/>
    <w:rsid w:val="0320716B"/>
    <w:rsid w:val="0389742B"/>
    <w:rsid w:val="04760FCF"/>
    <w:rsid w:val="04CA305F"/>
    <w:rsid w:val="052B7D45"/>
    <w:rsid w:val="065F3204"/>
    <w:rsid w:val="07D638B4"/>
    <w:rsid w:val="081A565A"/>
    <w:rsid w:val="08311B3B"/>
    <w:rsid w:val="08744F7A"/>
    <w:rsid w:val="097A764F"/>
    <w:rsid w:val="0A5F1209"/>
    <w:rsid w:val="0A83110A"/>
    <w:rsid w:val="0A8C6210"/>
    <w:rsid w:val="0AF40535"/>
    <w:rsid w:val="0B077B5B"/>
    <w:rsid w:val="0BB30260"/>
    <w:rsid w:val="0E491692"/>
    <w:rsid w:val="0F181D29"/>
    <w:rsid w:val="0F9C54D3"/>
    <w:rsid w:val="109C7F8D"/>
    <w:rsid w:val="10DB5880"/>
    <w:rsid w:val="1133356B"/>
    <w:rsid w:val="11670902"/>
    <w:rsid w:val="116B01E8"/>
    <w:rsid w:val="116D29B6"/>
    <w:rsid w:val="13A40F9B"/>
    <w:rsid w:val="13DF679B"/>
    <w:rsid w:val="140825FF"/>
    <w:rsid w:val="1481490C"/>
    <w:rsid w:val="14C65C74"/>
    <w:rsid w:val="14CD061A"/>
    <w:rsid w:val="14E2520A"/>
    <w:rsid w:val="1550232E"/>
    <w:rsid w:val="16305569"/>
    <w:rsid w:val="17B40996"/>
    <w:rsid w:val="17EE2824"/>
    <w:rsid w:val="17FE4FC6"/>
    <w:rsid w:val="180725A6"/>
    <w:rsid w:val="18DC0363"/>
    <w:rsid w:val="18E74349"/>
    <w:rsid w:val="19113EA7"/>
    <w:rsid w:val="1B256348"/>
    <w:rsid w:val="1B4A03A4"/>
    <w:rsid w:val="1BC90A62"/>
    <w:rsid w:val="1BF24027"/>
    <w:rsid w:val="1C776E36"/>
    <w:rsid w:val="1D4428BA"/>
    <w:rsid w:val="1D586945"/>
    <w:rsid w:val="1D854510"/>
    <w:rsid w:val="1FAE704E"/>
    <w:rsid w:val="1FDA1374"/>
    <w:rsid w:val="209F35D1"/>
    <w:rsid w:val="20D32C70"/>
    <w:rsid w:val="21A02309"/>
    <w:rsid w:val="235D1C34"/>
    <w:rsid w:val="24641BC2"/>
    <w:rsid w:val="24A36C97"/>
    <w:rsid w:val="251816A0"/>
    <w:rsid w:val="254545BF"/>
    <w:rsid w:val="25F67F8A"/>
    <w:rsid w:val="260619BB"/>
    <w:rsid w:val="265A02B8"/>
    <w:rsid w:val="26657D8B"/>
    <w:rsid w:val="26AC7D5A"/>
    <w:rsid w:val="26F53905"/>
    <w:rsid w:val="27621793"/>
    <w:rsid w:val="28237D5C"/>
    <w:rsid w:val="29CB7674"/>
    <w:rsid w:val="2A3B1D7D"/>
    <w:rsid w:val="2A927966"/>
    <w:rsid w:val="2AFF6BB3"/>
    <w:rsid w:val="2D742E08"/>
    <w:rsid w:val="2DF34BFD"/>
    <w:rsid w:val="2E7D0BB7"/>
    <w:rsid w:val="2EB85034"/>
    <w:rsid w:val="2FB30250"/>
    <w:rsid w:val="31391CA7"/>
    <w:rsid w:val="315947EF"/>
    <w:rsid w:val="32BE27F8"/>
    <w:rsid w:val="33B977C6"/>
    <w:rsid w:val="33C60661"/>
    <w:rsid w:val="34910EF0"/>
    <w:rsid w:val="34F416C6"/>
    <w:rsid w:val="376D427E"/>
    <w:rsid w:val="39DA2245"/>
    <w:rsid w:val="3A685AA2"/>
    <w:rsid w:val="3AAF4D7B"/>
    <w:rsid w:val="3B725E37"/>
    <w:rsid w:val="3BC046A9"/>
    <w:rsid w:val="3BC10B57"/>
    <w:rsid w:val="3BF47752"/>
    <w:rsid w:val="3C667DC0"/>
    <w:rsid w:val="3DDE4CA6"/>
    <w:rsid w:val="3F235AF6"/>
    <w:rsid w:val="4095482F"/>
    <w:rsid w:val="40EB768D"/>
    <w:rsid w:val="41AC44C7"/>
    <w:rsid w:val="426D5238"/>
    <w:rsid w:val="42F83FCB"/>
    <w:rsid w:val="433A1C2E"/>
    <w:rsid w:val="434E37B2"/>
    <w:rsid w:val="435D0F0C"/>
    <w:rsid w:val="438324EF"/>
    <w:rsid w:val="438849F7"/>
    <w:rsid w:val="43D163CE"/>
    <w:rsid w:val="44EB2F9D"/>
    <w:rsid w:val="462F5DFF"/>
    <w:rsid w:val="4667629D"/>
    <w:rsid w:val="46E644B1"/>
    <w:rsid w:val="47A55629"/>
    <w:rsid w:val="47FB1D04"/>
    <w:rsid w:val="48063F61"/>
    <w:rsid w:val="480F59EB"/>
    <w:rsid w:val="49975867"/>
    <w:rsid w:val="4ABA5EA6"/>
    <w:rsid w:val="4B6B7278"/>
    <w:rsid w:val="4B773B62"/>
    <w:rsid w:val="4BDA3A4F"/>
    <w:rsid w:val="4D944586"/>
    <w:rsid w:val="4DF83411"/>
    <w:rsid w:val="4DFF2D58"/>
    <w:rsid w:val="4F7B039F"/>
    <w:rsid w:val="4F8A58F5"/>
    <w:rsid w:val="4FBB22C3"/>
    <w:rsid w:val="512007B4"/>
    <w:rsid w:val="51463280"/>
    <w:rsid w:val="514F06E6"/>
    <w:rsid w:val="5292739E"/>
    <w:rsid w:val="52980598"/>
    <w:rsid w:val="529C507C"/>
    <w:rsid w:val="52B05402"/>
    <w:rsid w:val="52B614AB"/>
    <w:rsid w:val="534F08CC"/>
    <w:rsid w:val="5385213F"/>
    <w:rsid w:val="53BF838C"/>
    <w:rsid w:val="53F95A14"/>
    <w:rsid w:val="54CE37F5"/>
    <w:rsid w:val="555E1B24"/>
    <w:rsid w:val="555F460E"/>
    <w:rsid w:val="55F22869"/>
    <w:rsid w:val="56247B07"/>
    <w:rsid w:val="57C245EC"/>
    <w:rsid w:val="585C6BC6"/>
    <w:rsid w:val="599D630C"/>
    <w:rsid w:val="5A7A735F"/>
    <w:rsid w:val="5B43723D"/>
    <w:rsid w:val="5B953DC6"/>
    <w:rsid w:val="5BE3798D"/>
    <w:rsid w:val="5BF925A6"/>
    <w:rsid w:val="5D5548DE"/>
    <w:rsid w:val="5DB76275"/>
    <w:rsid w:val="5DC5EBC2"/>
    <w:rsid w:val="5DDA4421"/>
    <w:rsid w:val="5F531FCE"/>
    <w:rsid w:val="5F7D6990"/>
    <w:rsid w:val="5F8C3B27"/>
    <w:rsid w:val="5FFC4413"/>
    <w:rsid w:val="60487659"/>
    <w:rsid w:val="60AD55FB"/>
    <w:rsid w:val="616404C2"/>
    <w:rsid w:val="617862D8"/>
    <w:rsid w:val="61C55405"/>
    <w:rsid w:val="61C82C3D"/>
    <w:rsid w:val="623E6F65"/>
    <w:rsid w:val="62F03E09"/>
    <w:rsid w:val="631D4379"/>
    <w:rsid w:val="63593BEF"/>
    <w:rsid w:val="644A2028"/>
    <w:rsid w:val="64A97104"/>
    <w:rsid w:val="64B90B25"/>
    <w:rsid w:val="64D14071"/>
    <w:rsid w:val="654943D9"/>
    <w:rsid w:val="65732701"/>
    <w:rsid w:val="66580F6F"/>
    <w:rsid w:val="66911D59"/>
    <w:rsid w:val="67173B0B"/>
    <w:rsid w:val="68B603B2"/>
    <w:rsid w:val="68C61387"/>
    <w:rsid w:val="69826331"/>
    <w:rsid w:val="69D04A3B"/>
    <w:rsid w:val="6AA236F1"/>
    <w:rsid w:val="6AE8199A"/>
    <w:rsid w:val="6B0105CC"/>
    <w:rsid w:val="6B453112"/>
    <w:rsid w:val="6B574083"/>
    <w:rsid w:val="6CC21212"/>
    <w:rsid w:val="6CDC7AA6"/>
    <w:rsid w:val="6D6909CD"/>
    <w:rsid w:val="6DBC02D3"/>
    <w:rsid w:val="6E0C06BC"/>
    <w:rsid w:val="6E362857"/>
    <w:rsid w:val="6E90674D"/>
    <w:rsid w:val="6ECF43A7"/>
    <w:rsid w:val="6F24489A"/>
    <w:rsid w:val="6FAFD484"/>
    <w:rsid w:val="70C26BC4"/>
    <w:rsid w:val="71322A2A"/>
    <w:rsid w:val="71327C95"/>
    <w:rsid w:val="726C367A"/>
    <w:rsid w:val="727E2904"/>
    <w:rsid w:val="735D13CB"/>
    <w:rsid w:val="73722CE5"/>
    <w:rsid w:val="74367A9C"/>
    <w:rsid w:val="75373A21"/>
    <w:rsid w:val="75412B9C"/>
    <w:rsid w:val="755F2CCE"/>
    <w:rsid w:val="766145E9"/>
    <w:rsid w:val="789631FF"/>
    <w:rsid w:val="793B3DA7"/>
    <w:rsid w:val="79746847"/>
    <w:rsid w:val="79DA6097"/>
    <w:rsid w:val="7ABF44E4"/>
    <w:rsid w:val="7BD61B65"/>
    <w:rsid w:val="7BE10C35"/>
    <w:rsid w:val="7BFA19DA"/>
    <w:rsid w:val="7D4F51BD"/>
    <w:rsid w:val="7D5611AF"/>
    <w:rsid w:val="7DBC2663"/>
    <w:rsid w:val="7DCC7E3B"/>
    <w:rsid w:val="7EB1275E"/>
    <w:rsid w:val="7F9F52D8"/>
    <w:rsid w:val="7FC9192D"/>
    <w:rsid w:val="B7DED710"/>
    <w:rsid w:val="C667DC9A"/>
    <w:rsid w:val="D4D83091"/>
    <w:rsid w:val="DD6FDDDD"/>
    <w:rsid w:val="DFEA3C20"/>
    <w:rsid w:val="F9F7E08B"/>
    <w:rsid w:val="FBEF9195"/>
    <w:rsid w:val="FFEEE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before="50" w:beforeLines="50" w:after="50" w:afterLines="50"/>
      <w:jc w:val="left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pageBreakBefore/>
      <w:wordWrap w:val="0"/>
      <w:spacing w:before="50" w:beforeLines="50" w:beforeAutospacing="0" w:after="50" w:afterLines="50" w:afterAutospacing="0" w:line="240" w:lineRule="auto"/>
      <w:ind w:left="0" w:firstLine="0"/>
      <w:jc w:val="center"/>
      <w:outlineLvl w:val="0"/>
    </w:pPr>
    <w:rPr>
      <w:b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 w:val="0"/>
      <w:pageBreakBefore/>
      <w:spacing w:before="50" w:beforeLines="50" w:beforeAutospacing="0" w:after="50" w:afterLines="50" w:afterAutospacing="0" w:line="240" w:lineRule="auto"/>
      <w:ind w:left="0"/>
      <w:jc w:val="center"/>
      <w:outlineLvl w:val="1"/>
    </w:pPr>
    <w:rPr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pageBreakBefore/>
      <w:spacing w:before="50" w:beforeLines="50" w:beforeAutospacing="0" w:after="50" w:afterLines="50" w:afterAutospacing="0" w:line="240" w:lineRule="auto"/>
      <w:jc w:val="center"/>
      <w:outlineLvl w:val="2"/>
    </w:pPr>
    <w:rPr>
      <w:rFonts w:ascii="宋体" w:hAnsi="宋体" w:eastAsia="宋体" w:cs="宋体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 w:val="0"/>
      <w:keepLines w:val="0"/>
      <w:pageBreakBefore/>
      <w:spacing w:beforeLines="50" w:beforeAutospacing="0" w:afterLines="50" w:afterAutospacing="0" w:line="240" w:lineRule="auto"/>
      <w:ind w:left="0" w:firstLine="0"/>
      <w:jc w:val="center"/>
      <w:outlineLvl w:val="3"/>
    </w:pPr>
    <w:rPr>
      <w:rFonts w:ascii="宋体" w:hAnsi="宋体" w:eastAsia="宋体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 w:val="0"/>
      <w:keepLines w:val="0"/>
      <w:pageBreakBefore/>
      <w:spacing w:before="50" w:beforeLines="50" w:beforeAutospacing="0" w:after="50" w:afterLines="50" w:afterAutospacing="0" w:line="240" w:lineRule="auto"/>
      <w:jc w:val="center"/>
      <w:outlineLvl w:val="4"/>
    </w:pPr>
    <w:rPr>
      <w:rFonts w:ascii="宋体" w:hAnsi="宋体" w:eastAsia="宋体" w:cs="宋体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kern w:val="0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5412</Words>
  <Characters>5904</Characters>
  <Lines>0</Lines>
  <Paragraphs>0</Paragraphs>
  <TotalTime>73</TotalTime>
  <ScaleCrop>false</ScaleCrop>
  <LinksUpToDate>false</LinksUpToDate>
  <CharactersWithSpaces>5913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2023-08-04T16:29:00Z</dcterms:created>
  <dc:creator>Administrator</dc:creator>
  <cp:lastModifiedBy>陈莉</cp:lastModifiedBy>
  <cp:lastPrinted>2025-09-11T16:13:00Z</cp:lastPrinted>
  <dcterms:modified xsi:type="dcterms:W3CDTF">2025-09-25T09:59:48Z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2052-11.1.0.11723</vt:lpwstr>
  </property>
  <property fmtid="{D5CDD505-2E9C-101B-9397-08002B2CF9AE}" pid="3" name="ICV">
    <vt:lpwstr>880CA164B3947BD36BFFB7689FC08792</vt:lpwstr>
  </property>
</Properties>
</file>