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44A080">
      <w:pPr>
        <w:pStyle w:val="2"/>
        <w:keepLines w:val="0"/>
        <w:pageBreakBefore w:val="0"/>
        <w:tabs>
          <w:tab w:val="left" w:pos="1259"/>
        </w:tabs>
        <w:kinsoku/>
        <w:wordWrap/>
        <w:overflowPunct/>
        <w:topLinePunct w:val="0"/>
        <w:autoSpaceDE/>
        <w:autoSpaceDN/>
        <w:bidi w:val="0"/>
        <w:spacing w:line="576" w:lineRule="exact"/>
        <w:jc w:val="center"/>
        <w:textAlignment w:val="auto"/>
        <w:rPr>
          <w:rFonts w:hint="default" w:ascii="Times New Roman" w:hAnsi="Times New Roman" w:eastAsia="方正小标宋简体" w:cs="Times New Roman"/>
          <w:color w:val="000000"/>
          <w:sz w:val="18"/>
          <w:szCs w:val="18"/>
        </w:rPr>
      </w:pPr>
      <w:r>
        <w:rPr>
          <w:rFonts w:hint="eastAsia" w:ascii="方正公文小标宋" w:hAnsi="方正公文小标宋" w:eastAsia="方正公文小标宋" w:cs="方正公文小标宋"/>
          <w:b w:val="0"/>
          <w:bCs w:val="0"/>
          <w:color w:val="231F20"/>
          <w:sz w:val="44"/>
          <w:szCs w:val="44"/>
        </w:rPr>
        <w:t>福建省药品监督管理局</w:t>
      </w:r>
      <w:r>
        <w:rPr>
          <w:rFonts w:hint="eastAsia" w:ascii="方正公文小标宋" w:hAnsi="方正公文小标宋" w:eastAsia="方正公文小标宋" w:cs="方正公文小标宋"/>
          <w:b w:val="0"/>
          <w:bCs w:val="0"/>
          <w:color w:val="000000"/>
          <w:sz w:val="44"/>
          <w:szCs w:val="44"/>
        </w:rPr>
        <w:t>行政处罚决定书</w:t>
      </w:r>
    </w:p>
    <w:p w14:paraId="2A746670">
      <w:pPr>
        <w:pStyle w:val="3"/>
        <w:keepNext w:val="0"/>
        <w:keepLines w:val="0"/>
        <w:pageBreakBefore w:val="0"/>
        <w:widowControl w:val="0"/>
        <w:tabs>
          <w:tab w:val="left" w:pos="8964"/>
        </w:tabs>
        <w:kinsoku/>
        <w:wordWrap/>
        <w:overflowPunct/>
        <w:topLinePunct w:val="0"/>
        <w:autoSpaceDE/>
        <w:autoSpaceDN/>
        <w:bidi w:val="0"/>
        <w:adjustRightInd/>
        <w:snapToGrid/>
        <w:spacing w:before="313" w:beforeLines="100" w:line="576" w:lineRule="exact"/>
        <w:ind w:left="0" w:firstLine="640" w:firstLineChars="200"/>
        <w:jc w:val="right"/>
        <w:textAlignment w:val="auto"/>
        <w:rPr>
          <w:rFonts w:hint="default" w:ascii="Times New Roman" w:hAnsi="Times New Roman" w:eastAsia="楷体" w:cs="Times New Roman"/>
          <w:i w:val="0"/>
          <w:iCs w:val="0"/>
          <w:color w:val="000000" w:themeColor="text1"/>
          <w:kern w:val="0"/>
          <w:sz w:val="32"/>
          <w:szCs w:val="32"/>
          <w:u w:val="none"/>
          <w:lang w:val="en-US" w:eastAsia="zh-CN" w:bidi="ar"/>
          <w14:textFill>
            <w14:solidFill>
              <w14:schemeClr w14:val="tx1"/>
            </w14:solidFill>
          </w14:textFill>
        </w:rPr>
      </w:pPr>
      <w:r>
        <w:rPr>
          <w:rFonts w:hint="default" w:ascii="Times New Roman" w:hAnsi="Times New Roman" w:eastAsia="楷体" w:cs="Times New Roman"/>
          <w:i w:val="0"/>
          <w:iCs w:val="0"/>
          <w:color w:val="000000" w:themeColor="text1"/>
          <w:kern w:val="0"/>
          <w:sz w:val="32"/>
          <w:szCs w:val="32"/>
          <w:u w:val="none"/>
          <w:lang w:val="en-US" w:eastAsia="zh-CN" w:bidi="ar"/>
          <w14:textFill>
            <w14:solidFill>
              <w14:schemeClr w14:val="tx1"/>
            </w14:solidFill>
          </w14:textFill>
        </w:rPr>
        <w:t>闽药监厦稽办</w:t>
      </w:r>
      <w:r>
        <w:rPr>
          <w:rFonts w:hint="eastAsia" w:ascii="Times New Roman" w:hAnsi="Times New Roman" w:eastAsia="楷体" w:cs="Times New Roman"/>
          <w:i w:val="0"/>
          <w:iCs w:val="0"/>
          <w:color w:val="000000" w:themeColor="text1"/>
          <w:kern w:val="0"/>
          <w:sz w:val="32"/>
          <w:szCs w:val="32"/>
          <w:u w:val="none"/>
          <w:lang w:val="en-US" w:eastAsia="zh-CN" w:bidi="ar"/>
          <w14:textFill>
            <w14:solidFill>
              <w14:schemeClr w14:val="tx1"/>
            </w14:solidFill>
          </w14:textFill>
        </w:rPr>
        <w:t>处罚</w:t>
      </w:r>
      <w:r>
        <w:rPr>
          <w:rFonts w:hint="default" w:ascii="Times New Roman" w:hAnsi="Times New Roman" w:eastAsia="楷体" w:cs="Times New Roman"/>
          <w:i w:val="0"/>
          <w:iCs w:val="0"/>
          <w:color w:val="000000" w:themeColor="text1"/>
          <w:kern w:val="0"/>
          <w:sz w:val="32"/>
          <w:szCs w:val="32"/>
          <w:u w:val="none"/>
          <w:lang w:val="en-US" w:eastAsia="zh-CN" w:bidi="ar"/>
          <w14:textFill>
            <w14:solidFill>
              <w14:schemeClr w14:val="tx1"/>
            </w14:solidFill>
          </w14:textFill>
        </w:rPr>
        <w:t>〔2026〕</w:t>
      </w:r>
      <w:r>
        <w:rPr>
          <w:rFonts w:hint="eastAsia" w:ascii="Times New Roman" w:hAnsi="Times New Roman" w:eastAsia="楷体" w:cs="Times New Roman"/>
          <w:i w:val="0"/>
          <w:iCs w:val="0"/>
          <w:color w:val="000000" w:themeColor="text1"/>
          <w:kern w:val="0"/>
          <w:sz w:val="32"/>
          <w:szCs w:val="32"/>
          <w:u w:val="none"/>
          <w:lang w:val="en-US" w:eastAsia="zh-CN" w:bidi="ar"/>
          <w14:textFill>
            <w14:solidFill>
              <w14:schemeClr w14:val="tx1"/>
            </w14:solidFill>
          </w14:textFill>
        </w:rPr>
        <w:t>11</w:t>
      </w:r>
      <w:r>
        <w:rPr>
          <w:rFonts w:hint="default" w:ascii="Times New Roman" w:hAnsi="Times New Roman" w:eastAsia="楷体" w:cs="Times New Roman"/>
          <w:i w:val="0"/>
          <w:iCs w:val="0"/>
          <w:color w:val="000000" w:themeColor="text1"/>
          <w:kern w:val="0"/>
          <w:sz w:val="32"/>
          <w:szCs w:val="32"/>
          <w:u w:val="none"/>
          <w:lang w:val="en-US" w:eastAsia="zh-CN" w:bidi="ar"/>
          <w14:textFill>
            <w14:solidFill>
              <w14:schemeClr w14:val="tx1"/>
            </w14:solidFill>
          </w14:textFill>
        </w:rPr>
        <w:t>号</w:t>
      </w:r>
    </w:p>
    <w:p w14:paraId="297EC00C">
      <w:pPr>
        <w:keepNext w:val="0"/>
        <w:keepLines w:val="0"/>
        <w:pageBreakBefore w:val="0"/>
        <w:widowControl w:val="0"/>
        <w:kinsoku/>
        <w:wordWrap/>
        <w:overflowPunct/>
        <w:topLinePunct w:val="0"/>
        <w:autoSpaceDE/>
        <w:autoSpaceDN/>
        <w:bidi w:val="0"/>
        <w:adjustRightInd w:val="0"/>
        <w:snapToGrid w:val="0"/>
        <w:spacing w:before="157" w:beforeLines="50" w:line="576" w:lineRule="exact"/>
        <w:ind w:left="142" w:hanging="142"/>
        <w:textAlignment w:val="auto"/>
        <w:rPr>
          <w:rFonts w:hint="default" w:ascii="Times New Roman" w:hAnsi="Times New Roman" w:eastAsia="仿宋_GB2312" w:cs="Times New Roman"/>
          <w:kern w:val="1"/>
          <w:sz w:val="32"/>
          <w:szCs w:val="32"/>
        </w:rPr>
      </w:pPr>
      <w:r>
        <w:rPr>
          <w:rFonts w:hint="default" w:ascii="Times New Roman" w:hAnsi="Times New Roman" w:eastAsia="仿宋_GB2312" w:cs="Times New Roman"/>
          <w:kern w:val="1"/>
          <w:sz w:val="32"/>
          <w:szCs w:val="32"/>
        </w:rPr>
        <w:t>当事人：</w:t>
      </w:r>
      <w:r>
        <w:rPr>
          <w:rFonts w:hint="default" w:ascii="Times New Roman" w:hAnsi="Times New Roman" w:eastAsia="仿宋_GB2312" w:cs="Times New Roman"/>
          <w:sz w:val="32"/>
          <w:szCs w:val="32"/>
        </w:rPr>
        <w:t>厦门星火微光医疗器械制造有限公司</w:t>
      </w:r>
      <w:r>
        <w:rPr>
          <w:rFonts w:hint="default" w:ascii="Times New Roman" w:hAnsi="Times New Roman" w:eastAsia="仿宋_GB2312" w:cs="Times New Roman"/>
          <w:b w:val="0"/>
          <w:bCs w:val="0"/>
          <w:color w:val="auto"/>
          <w:kern w:val="1"/>
          <w:sz w:val="32"/>
          <w:szCs w:val="32"/>
          <w:lang w:eastAsia="zh-CN"/>
        </w:rPr>
        <w:t>（以下简称“</w:t>
      </w:r>
      <w:r>
        <w:rPr>
          <w:rFonts w:hint="eastAsia" w:ascii="Times New Roman" w:hAnsi="Times New Roman" w:eastAsia="仿宋_GB2312" w:cs="Times New Roman"/>
          <w:sz w:val="32"/>
          <w:szCs w:val="32"/>
          <w:lang w:val="en-US" w:eastAsia="zh-CN"/>
        </w:rPr>
        <w:t>星火微光</w:t>
      </w:r>
      <w:r>
        <w:rPr>
          <w:rFonts w:hint="default" w:ascii="Times New Roman" w:hAnsi="Times New Roman" w:eastAsia="仿宋_GB2312" w:cs="Times New Roman"/>
          <w:b w:val="0"/>
          <w:bCs w:val="0"/>
          <w:color w:val="auto"/>
          <w:kern w:val="1"/>
          <w:sz w:val="32"/>
          <w:szCs w:val="32"/>
          <w:lang w:eastAsia="zh-CN"/>
        </w:rPr>
        <w:t>”）</w:t>
      </w:r>
    </w:p>
    <w:p w14:paraId="26505492">
      <w:pPr>
        <w:keepNext w:val="0"/>
        <w:keepLines w:val="0"/>
        <w:pageBreakBefore w:val="0"/>
        <w:kinsoku/>
        <w:wordWrap/>
        <w:overflowPunct/>
        <w:topLinePunct w:val="0"/>
        <w:autoSpaceDE/>
        <w:autoSpaceDN/>
        <w:bidi w:val="0"/>
        <w:adjustRightInd w:val="0"/>
        <w:snapToGrid w:val="0"/>
        <w:spacing w:line="576" w:lineRule="exact"/>
        <w:ind w:left="142" w:hanging="142"/>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kern w:val="1"/>
          <w:sz w:val="32"/>
          <w:szCs w:val="32"/>
        </w:rPr>
        <w:t>主体资格证照名称：《营业执照》</w:t>
      </w:r>
    </w:p>
    <w:p w14:paraId="3D36D963">
      <w:pPr>
        <w:keepNext w:val="0"/>
        <w:keepLines w:val="0"/>
        <w:pageBreakBefore w:val="0"/>
        <w:kinsoku/>
        <w:wordWrap/>
        <w:overflowPunct/>
        <w:topLinePunct w:val="0"/>
        <w:autoSpaceDE/>
        <w:autoSpaceDN/>
        <w:bidi w:val="0"/>
        <w:adjustRightInd w:val="0"/>
        <w:snapToGrid w:val="0"/>
        <w:spacing w:line="576" w:lineRule="exact"/>
        <w:ind w:left="142" w:hanging="14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kern w:val="1"/>
          <w:sz w:val="32"/>
          <w:szCs w:val="32"/>
        </w:rPr>
        <w:t>统一社会信用代码：</w:t>
      </w:r>
      <w:r>
        <w:rPr>
          <w:rFonts w:hint="default" w:ascii="Times New Roman" w:hAnsi="Times New Roman" w:eastAsia="仿宋_GB2312" w:cs="Times New Roman"/>
          <w:sz w:val="32"/>
          <w:szCs w:val="32"/>
          <w:lang w:eastAsia="zh-CN"/>
        </w:rPr>
        <w:t>91350200MA33JQLG4B</w:t>
      </w:r>
    </w:p>
    <w:p w14:paraId="1C905FE4">
      <w:pPr>
        <w:keepNext w:val="0"/>
        <w:keepLines w:val="0"/>
        <w:pageBreakBefore w:val="0"/>
        <w:kinsoku/>
        <w:wordWrap/>
        <w:overflowPunct/>
        <w:topLinePunct w:val="0"/>
        <w:autoSpaceDE/>
        <w:autoSpaceDN/>
        <w:bidi w:val="0"/>
        <w:adjustRightInd w:val="0"/>
        <w:snapToGrid w:val="0"/>
        <w:spacing w:line="576" w:lineRule="exact"/>
        <w:ind w:left="142" w:hanging="142"/>
        <w:textAlignment w:val="auto"/>
        <w:rPr>
          <w:rFonts w:hint="default" w:ascii="Times New Roman" w:hAnsi="Times New Roman" w:eastAsia="仿宋_GB2312" w:cs="Times New Roman"/>
          <w:kern w:val="1"/>
          <w:sz w:val="32"/>
          <w:szCs w:val="32"/>
        </w:rPr>
      </w:pPr>
      <w:r>
        <w:rPr>
          <w:rFonts w:hint="default" w:ascii="Times New Roman" w:hAnsi="Times New Roman" w:eastAsia="仿宋_GB2312" w:cs="Times New Roman"/>
          <w:kern w:val="1"/>
          <w:sz w:val="32"/>
          <w:szCs w:val="32"/>
        </w:rPr>
        <w:t>住所</w:t>
      </w:r>
      <w:r>
        <w:rPr>
          <w:rFonts w:hint="eastAsia" w:ascii="Times New Roman" w:hAnsi="Times New Roman" w:eastAsia="仿宋_GB2312" w:cs="Times New Roman"/>
          <w:kern w:val="1"/>
          <w:sz w:val="32"/>
          <w:szCs w:val="32"/>
          <w:lang w:eastAsia="zh-CN"/>
        </w:rPr>
        <w:t>：</w:t>
      </w:r>
      <w:r>
        <w:rPr>
          <w:rFonts w:hint="default" w:ascii="Times New Roman" w:hAnsi="Times New Roman" w:eastAsia="仿宋_GB2312" w:cs="Times New Roman"/>
          <w:kern w:val="1"/>
          <w:sz w:val="32"/>
          <w:szCs w:val="32"/>
        </w:rPr>
        <w:t>厦门市海沧区中沧路8号2号厂房5楼西侧502区域4格半、2楼一格</w:t>
      </w:r>
    </w:p>
    <w:p w14:paraId="509339CF">
      <w:pPr>
        <w:keepNext w:val="0"/>
        <w:keepLines w:val="0"/>
        <w:pageBreakBefore w:val="0"/>
        <w:kinsoku/>
        <w:wordWrap/>
        <w:overflowPunct/>
        <w:topLinePunct w:val="0"/>
        <w:autoSpaceDE/>
        <w:autoSpaceDN/>
        <w:bidi w:val="0"/>
        <w:adjustRightInd w:val="0"/>
        <w:snapToGrid w:val="0"/>
        <w:spacing w:line="576" w:lineRule="exact"/>
        <w:ind w:left="142" w:hanging="142"/>
        <w:textAlignment w:val="auto"/>
        <w:rPr>
          <w:rFonts w:hint="default" w:ascii="Times New Roman" w:hAnsi="Times New Roman" w:eastAsia="仿宋_GB2312" w:cs="Times New Roman"/>
          <w:kern w:val="1"/>
          <w:sz w:val="32"/>
          <w:szCs w:val="32"/>
          <w:lang w:val="en-US" w:eastAsia="zh-CN"/>
        </w:rPr>
      </w:pPr>
      <w:r>
        <w:rPr>
          <w:rFonts w:hint="default" w:ascii="Times New Roman" w:hAnsi="Times New Roman" w:eastAsia="仿宋_GB2312" w:cs="Times New Roman"/>
          <w:kern w:val="1"/>
          <w:sz w:val="32"/>
          <w:szCs w:val="32"/>
        </w:rPr>
        <w:t>法定代表人：</w:t>
      </w:r>
      <w:r>
        <w:rPr>
          <w:rFonts w:hint="eastAsia" w:ascii="Times New Roman" w:hAnsi="Times New Roman" w:eastAsia="仿宋_GB2312" w:cs="Times New Roman"/>
          <w:kern w:val="1"/>
          <w:sz w:val="32"/>
          <w:szCs w:val="32"/>
          <w:lang w:val="en-US" w:eastAsia="zh-CN"/>
        </w:rPr>
        <w:t>王**</w:t>
      </w:r>
    </w:p>
    <w:p w14:paraId="450A3E47">
      <w:pPr>
        <w:keepNext w:val="0"/>
        <w:keepLines w:val="0"/>
        <w:pageBreakBefore w:val="0"/>
        <w:kinsoku/>
        <w:wordWrap/>
        <w:overflowPunct/>
        <w:topLinePunct w:val="0"/>
        <w:autoSpaceDE/>
        <w:autoSpaceDN/>
        <w:bidi w:val="0"/>
        <w:adjustRightInd w:val="0"/>
        <w:snapToGrid w:val="0"/>
        <w:spacing w:line="576" w:lineRule="exact"/>
        <w:ind w:left="142" w:hanging="142"/>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rPr>
        <w:t>身份证号码：</w:t>
      </w:r>
      <w:r>
        <w:rPr>
          <w:rFonts w:hint="default" w:ascii="Times New Roman" w:hAnsi="Times New Roman" w:eastAsia="仿宋_GB2312" w:cs="Times New Roman"/>
          <w:kern w:val="0"/>
          <w:sz w:val="32"/>
          <w:szCs w:val="32"/>
          <w:lang w:val="en-US" w:eastAsia="zh-CN"/>
        </w:rPr>
        <w:t>350</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117</w:t>
      </w:r>
    </w:p>
    <w:p w14:paraId="14FA022D">
      <w:pPr>
        <w:keepNext w:val="0"/>
        <w:keepLines w:val="0"/>
        <w:pageBreakBefore w:val="0"/>
        <w:kinsoku/>
        <w:wordWrap/>
        <w:overflowPunct/>
        <w:topLinePunct w:val="0"/>
        <w:autoSpaceDE/>
        <w:autoSpaceDN/>
        <w:bidi w:val="0"/>
        <w:adjustRightInd w:val="0"/>
        <w:snapToGrid w:val="0"/>
        <w:spacing w:line="576" w:lineRule="exact"/>
        <w:ind w:left="142" w:hanging="142"/>
        <w:textAlignment w:val="auto"/>
        <w:rPr>
          <w:rFonts w:hint="default" w:ascii="Times New Roman" w:hAnsi="Times New Roman" w:eastAsia="仿宋_GB2312" w:cs="Times New Roman"/>
          <w:bCs/>
          <w:kern w:val="1"/>
          <w:sz w:val="32"/>
          <w:szCs w:val="32"/>
        </w:rPr>
      </w:pPr>
      <w:r>
        <w:rPr>
          <w:rFonts w:hint="default" w:ascii="Times New Roman" w:hAnsi="Times New Roman" w:eastAsia="仿宋_GB2312" w:cs="Times New Roman"/>
          <w:kern w:val="1"/>
          <w:sz w:val="32"/>
          <w:szCs w:val="32"/>
        </w:rPr>
        <w:t>联系电话：</w:t>
      </w:r>
      <w:r>
        <w:rPr>
          <w:rFonts w:hint="default" w:ascii="Times New Roman" w:hAnsi="Times New Roman" w:eastAsia="仿宋_GB2312" w:cs="Times New Roman"/>
          <w:bCs/>
          <w:sz w:val="32"/>
          <w:szCs w:val="32"/>
        </w:rPr>
        <w:t>15</w:t>
      </w:r>
      <w:r>
        <w:rPr>
          <w:rFonts w:hint="eastAsia" w:ascii="Times New Roman" w:hAnsi="Times New Roman" w:eastAsia="仿宋_GB2312" w:cs="Times New Roman"/>
          <w:bCs/>
          <w:sz w:val="32"/>
          <w:szCs w:val="32"/>
          <w:lang w:val="en-US" w:eastAsia="zh-CN"/>
        </w:rPr>
        <w:t>*******</w:t>
      </w:r>
      <w:r>
        <w:rPr>
          <w:rFonts w:hint="default" w:ascii="Times New Roman" w:hAnsi="Times New Roman" w:eastAsia="仿宋_GB2312" w:cs="Times New Roman"/>
          <w:bCs/>
          <w:sz w:val="32"/>
          <w:szCs w:val="32"/>
        </w:rPr>
        <w:t xml:space="preserve">18 </w:t>
      </w:r>
    </w:p>
    <w:p w14:paraId="1F1344E8">
      <w:pPr>
        <w:keepNext w:val="0"/>
        <w:keepLines w:val="0"/>
        <w:pageBreakBefore w:val="0"/>
        <w:kinsoku/>
        <w:wordWrap/>
        <w:overflowPunct/>
        <w:topLinePunct w:val="0"/>
        <w:autoSpaceDE/>
        <w:autoSpaceDN/>
        <w:bidi w:val="0"/>
        <w:adjustRightInd w:val="0"/>
        <w:snapToGrid w:val="0"/>
        <w:spacing w:line="576" w:lineRule="exact"/>
        <w:textAlignment w:val="auto"/>
        <w:rPr>
          <w:rFonts w:hint="default" w:ascii="Times New Roman" w:hAnsi="Times New Roman" w:eastAsia="仿宋_GB2312" w:cs="Times New Roman"/>
          <w:kern w:val="1"/>
          <w:sz w:val="32"/>
          <w:szCs w:val="32"/>
        </w:rPr>
      </w:pPr>
      <w:r>
        <w:rPr>
          <w:rFonts w:hint="default" w:ascii="Times New Roman" w:hAnsi="Times New Roman" w:eastAsia="仿宋_GB2312" w:cs="Times New Roman"/>
          <w:kern w:val="1"/>
          <w:sz w:val="32"/>
          <w:szCs w:val="32"/>
        </w:rPr>
        <w:t>联系地址：厦门市海沧区中沧路8号2号厂房5楼西侧502区域4格半、2楼一格</w:t>
      </w:r>
    </w:p>
    <w:p w14:paraId="181CDCBB">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根据江苏省医疗器械检验所《检验报告》（报告编号：2026GC0128，检验类别：国家监督抽验），</w:t>
      </w:r>
      <w:r>
        <w:rPr>
          <w:rFonts w:hint="eastAsia" w:ascii="Times New Roman" w:hAnsi="Times New Roman" w:eastAsia="仿宋_GB2312" w:cs="Times New Roman"/>
          <w:sz w:val="32"/>
          <w:szCs w:val="32"/>
          <w:lang w:val="en-US" w:eastAsia="zh-CN"/>
        </w:rPr>
        <w:t>星火微光</w:t>
      </w:r>
      <w:r>
        <w:rPr>
          <w:rFonts w:hint="default" w:ascii="Times New Roman" w:hAnsi="Times New Roman" w:eastAsia="仿宋_GB2312" w:cs="Times New Roman"/>
          <w:sz w:val="32"/>
          <w:szCs w:val="32"/>
          <w:lang w:val="en-US" w:eastAsia="zh-CN"/>
        </w:rPr>
        <w:t>生产</w:t>
      </w:r>
      <w:r>
        <w:rPr>
          <w:rFonts w:hint="default" w:ascii="Times New Roman" w:hAnsi="Times New Roman" w:eastAsia="仿宋_GB2312" w:cs="Times New Roman"/>
          <w:sz w:val="32"/>
          <w:szCs w:val="32"/>
          <w:lang w:eastAsia="zh-CN"/>
        </w:rPr>
        <w:t>的一次性使用桡动脉止血器（批号：26052801、规格型号：XH-RDM）</w:t>
      </w:r>
      <w:r>
        <w:rPr>
          <w:rFonts w:hint="default" w:ascii="Times New Roman" w:hAnsi="Times New Roman" w:eastAsia="仿宋_GB2312" w:cs="Times New Roman"/>
          <w:sz w:val="32"/>
          <w:szCs w:val="32"/>
          <w:lang w:val="en-US" w:eastAsia="zh-CN"/>
        </w:rPr>
        <w:t>经检验不合格，不合格检验项目为</w:t>
      </w:r>
      <w:r>
        <w:rPr>
          <w:rFonts w:hint="default" w:ascii="Times New Roman" w:hAnsi="Times New Roman" w:eastAsia="仿宋_GB2312" w:cs="Times New Roman"/>
          <w:sz w:val="32"/>
          <w:szCs w:val="32"/>
          <w:lang w:eastAsia="zh-CN"/>
        </w:rPr>
        <w:t>“重复性”。</w:t>
      </w:r>
      <w:r>
        <w:rPr>
          <w:rFonts w:hint="default" w:ascii="Times New Roman" w:hAnsi="Times New Roman" w:eastAsia="仿宋_GB2312" w:cs="Times New Roman"/>
          <w:sz w:val="32"/>
          <w:szCs w:val="32"/>
          <w:lang w:val="en-US" w:eastAsia="zh-CN"/>
        </w:rPr>
        <w:t>我局于2026年</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lang w:val="en-US" w:eastAsia="zh-CN"/>
        </w:rPr>
        <w:t>日送达了上述</w:t>
      </w:r>
      <w:r>
        <w:rPr>
          <w:rFonts w:hint="default" w:ascii="Times New Roman" w:hAnsi="Times New Roman" w:eastAsia="仿宋_GB2312" w:cs="Times New Roman"/>
          <w:sz w:val="32"/>
          <w:szCs w:val="32"/>
          <w:lang w:eastAsia="zh-CN"/>
        </w:rPr>
        <w:t>《检验报告》。</w:t>
      </w:r>
      <w:r>
        <w:rPr>
          <w:rFonts w:hint="default" w:ascii="Times New Roman" w:hAnsi="Times New Roman" w:eastAsia="仿宋_GB2312" w:cs="Times New Roman"/>
          <w:sz w:val="32"/>
          <w:szCs w:val="32"/>
          <w:lang w:val="en-US" w:eastAsia="zh-CN"/>
        </w:rPr>
        <w:t>因</w:t>
      </w:r>
      <w:r>
        <w:rPr>
          <w:rFonts w:hint="eastAsia" w:ascii="Times New Roman" w:hAnsi="Times New Roman" w:eastAsia="仿宋_GB2312" w:cs="Times New Roman"/>
          <w:sz w:val="32"/>
          <w:szCs w:val="32"/>
          <w:lang w:val="en-US" w:eastAsia="zh-CN"/>
        </w:rPr>
        <w:t>星火微光</w:t>
      </w:r>
      <w:r>
        <w:rPr>
          <w:rFonts w:hint="default" w:ascii="Times New Roman" w:hAnsi="Times New Roman" w:eastAsia="仿宋_GB2312" w:cs="Times New Roman"/>
          <w:sz w:val="32"/>
          <w:szCs w:val="32"/>
          <w:lang w:eastAsia="zh-CN"/>
        </w:rPr>
        <w:t>违反了《医疗器械监督管理条例》第三十五条第一款的规定，涉嫌生产不符合经注册产品技术要求的</w:t>
      </w:r>
      <w:r>
        <w:rPr>
          <w:rFonts w:hint="eastAsia" w:ascii="Times New Roman" w:hAnsi="Times New Roman" w:eastAsia="仿宋_GB2312" w:cs="Times New Roman"/>
          <w:sz w:val="32"/>
          <w:szCs w:val="32"/>
          <w:lang w:eastAsia="zh-CN"/>
        </w:rPr>
        <w:t>一次性使用桡动脉止血器，</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eastAsia="zh-CN"/>
        </w:rPr>
        <w:t>月</w:t>
      </w:r>
      <w:r>
        <w:rPr>
          <w:rFonts w:hint="eastAsia" w:ascii="Times New Roman" w:hAnsi="Times New Roman" w:eastAsia="仿宋_GB2312" w:cs="Times New Roman"/>
          <w:sz w:val="32"/>
          <w:szCs w:val="32"/>
          <w:lang w:val="en-US" w:eastAsia="zh-CN"/>
        </w:rPr>
        <w:t>22</w:t>
      </w:r>
      <w:r>
        <w:rPr>
          <w:rFonts w:hint="default" w:ascii="Times New Roman" w:hAnsi="Times New Roman" w:eastAsia="仿宋_GB2312" w:cs="Times New Roman"/>
          <w:sz w:val="32"/>
          <w:szCs w:val="32"/>
          <w:lang w:eastAsia="zh-CN"/>
        </w:rPr>
        <w:t>日，我局予以立案调查。2026年</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eastAsia="zh-CN"/>
        </w:rPr>
        <w:t>月</w:t>
      </w: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lang w:eastAsia="zh-CN"/>
        </w:rPr>
        <w:t>日，</w:t>
      </w:r>
      <w:r>
        <w:rPr>
          <w:rFonts w:hint="default" w:ascii="Times New Roman" w:hAnsi="Times New Roman" w:eastAsia="仿宋_GB2312" w:cs="Times New Roman"/>
          <w:sz w:val="32"/>
          <w:szCs w:val="32"/>
          <w:lang w:val="en-US" w:eastAsia="zh-CN"/>
        </w:rPr>
        <w:t>我局</w:t>
      </w:r>
      <w:r>
        <w:rPr>
          <w:rFonts w:hint="eastAsia" w:ascii="Times New Roman" w:hAnsi="Times New Roman" w:eastAsia="仿宋_GB2312" w:cs="Times New Roman"/>
          <w:sz w:val="32"/>
          <w:szCs w:val="32"/>
          <w:lang w:val="en-US" w:eastAsia="zh-CN"/>
        </w:rPr>
        <w:t>对</w:t>
      </w:r>
      <w:r>
        <w:rPr>
          <w:rFonts w:hint="default" w:ascii="Times New Roman" w:hAnsi="Times New Roman" w:eastAsia="仿宋_GB2312" w:cs="Times New Roman"/>
          <w:sz w:val="32"/>
          <w:szCs w:val="32"/>
          <w:lang w:eastAsia="zh-CN"/>
        </w:rPr>
        <w:t>星火微光法定代表人/企业负责人王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，管理者代表王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等2名相关人员进行询问调查。在调查取证过程中，涉案产品库存为275盒，未销售，存放在企业不合格品区。鉴于当事人该批次未流入市场，且风险性较低，我局未采取行政强制措施。</w:t>
      </w:r>
    </w:p>
    <w:p w14:paraId="699AFE97">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经查，星火微光组织生产该批次产品的数量为322个，其中3个用于初始污染检测，10个用于无菌性能检测，1个用于环氧乙烷残留量检测，5个用于成品检验，产品放行数量为303个，成品入库数量为303个。随后企业抽取了3个用于成品留样，最终可用于销售的成品数量为300个。</w:t>
      </w:r>
    </w:p>
    <w:p w14:paraId="474F688B">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2026年6月17日，福建省食品药品质量检验研究院在星火微光成品库抽取了25个涉案批次产品用于国家监督抽样，剩余275个产品。7月30日，星火微光与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生物科技公司签订了销售合同，销售单价为25元/个，销售数量为100个。星火微光与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生物科技公司约定待产品检验合格后，再安排发货。因该批次产品国抽不合格，未发货，因此，剩余275个产品未销售。根据星火微光签订的销售合同的单价（25元/个），认定该涉案批次产品的总货值金额为7500元。</w:t>
      </w:r>
    </w:p>
    <w:p w14:paraId="4F4B5320">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color w:val="231F20"/>
          <w:spacing w:val="-11"/>
          <w:sz w:val="32"/>
          <w:szCs w:val="32"/>
          <w:lang w:eastAsia="zh-CN"/>
        </w:rPr>
      </w:pPr>
      <w:r>
        <w:rPr>
          <w:rFonts w:hint="default" w:ascii="Times New Roman" w:hAnsi="Times New Roman" w:eastAsia="仿宋_GB2312" w:cs="Times New Roman"/>
          <w:b w:val="0"/>
          <w:bCs w:val="0"/>
          <w:color w:val="auto"/>
          <w:kern w:val="1"/>
          <w:sz w:val="32"/>
          <w:szCs w:val="32"/>
          <w:u w:val="none"/>
          <w:lang w:val="en-US" w:eastAsia="zh-CN"/>
        </w:rPr>
        <w:t>我局根据上述《检验报告》，结合对</w:t>
      </w:r>
      <w:r>
        <w:rPr>
          <w:rFonts w:hint="eastAsia" w:ascii="Times New Roman" w:hAnsi="Times New Roman" w:eastAsia="仿宋_GB2312" w:cs="Times New Roman"/>
          <w:kern w:val="1"/>
          <w:sz w:val="32"/>
          <w:szCs w:val="32"/>
          <w:lang w:val="en-US" w:eastAsia="zh-CN"/>
        </w:rPr>
        <w:t>星火微光</w:t>
      </w:r>
      <w:r>
        <w:rPr>
          <w:rFonts w:hint="default" w:ascii="Times New Roman" w:hAnsi="Times New Roman" w:eastAsia="仿宋_GB2312" w:cs="Times New Roman"/>
          <w:b w:val="0"/>
          <w:bCs w:val="0"/>
          <w:color w:val="000000"/>
          <w:kern w:val="1"/>
          <w:sz w:val="32"/>
          <w:szCs w:val="32"/>
          <w:u w:val="none" w:color="auto"/>
          <w:lang w:val="en-US" w:eastAsia="zh-CN" w:bidi="ar-SA"/>
        </w:rPr>
        <w:t>的</w:t>
      </w:r>
      <w:r>
        <w:rPr>
          <w:rFonts w:hint="default" w:ascii="Times New Roman" w:hAnsi="Times New Roman" w:eastAsia="仿宋_GB2312" w:cs="Times New Roman"/>
          <w:b w:val="0"/>
          <w:bCs w:val="0"/>
          <w:sz w:val="32"/>
          <w:szCs w:val="32"/>
          <w:u w:val="none"/>
          <w:lang w:val="en-US" w:eastAsia="zh-CN"/>
        </w:rPr>
        <w:t>问询调查笔录及相应证据材料，</w:t>
      </w:r>
      <w:r>
        <w:rPr>
          <w:rFonts w:hint="default" w:ascii="Times New Roman" w:hAnsi="Times New Roman" w:eastAsia="仿宋_GB2312" w:cs="Times New Roman"/>
          <w:b w:val="0"/>
          <w:bCs w:val="0"/>
          <w:color w:val="auto"/>
          <w:kern w:val="1"/>
          <w:sz w:val="32"/>
          <w:szCs w:val="32"/>
          <w:u w:val="none"/>
          <w:lang w:val="en-US" w:eastAsia="zh-CN"/>
        </w:rPr>
        <w:t>判定</w:t>
      </w:r>
      <w:r>
        <w:rPr>
          <w:rFonts w:hint="eastAsia" w:ascii="Times New Roman" w:hAnsi="Times New Roman" w:eastAsia="仿宋_GB2312" w:cs="Times New Roman"/>
          <w:b w:val="0"/>
          <w:bCs w:val="0"/>
          <w:color w:val="auto"/>
          <w:kern w:val="1"/>
          <w:sz w:val="32"/>
          <w:szCs w:val="32"/>
          <w:u w:val="none"/>
          <w:lang w:val="en-US" w:eastAsia="zh-CN"/>
        </w:rPr>
        <w:t>星火微光</w:t>
      </w:r>
      <w:r>
        <w:rPr>
          <w:rFonts w:hint="default" w:ascii="Times New Roman" w:hAnsi="Times New Roman" w:eastAsia="仿宋_GB2312" w:cs="Times New Roman"/>
          <w:b w:val="0"/>
          <w:bCs w:val="0"/>
          <w:color w:val="auto"/>
          <w:kern w:val="1"/>
          <w:sz w:val="32"/>
          <w:szCs w:val="32"/>
          <w:u w:val="none"/>
          <w:lang w:val="en-US" w:eastAsia="zh-CN"/>
        </w:rPr>
        <w:t>构成了生产不符合经注册产品技术要求的</w:t>
      </w:r>
      <w:r>
        <w:rPr>
          <w:rFonts w:hint="eastAsia" w:ascii="Times New Roman" w:hAnsi="Times New Roman" w:eastAsia="仿宋_GB2312" w:cs="Times New Roman"/>
          <w:b w:val="0"/>
          <w:bCs w:val="0"/>
          <w:color w:val="auto"/>
          <w:kern w:val="1"/>
          <w:sz w:val="32"/>
          <w:szCs w:val="32"/>
          <w:u w:val="none"/>
          <w:lang w:val="en-US" w:eastAsia="zh-CN"/>
        </w:rPr>
        <w:t>一次性使用桡动脉止血器</w:t>
      </w:r>
      <w:r>
        <w:rPr>
          <w:rFonts w:hint="default" w:ascii="Times New Roman" w:hAnsi="Times New Roman" w:eastAsia="仿宋_GB2312" w:cs="Times New Roman"/>
          <w:b w:val="0"/>
          <w:bCs w:val="0"/>
          <w:color w:val="auto"/>
          <w:kern w:val="1"/>
          <w:sz w:val="32"/>
          <w:szCs w:val="32"/>
          <w:u w:val="none"/>
          <w:lang w:val="en-US" w:eastAsia="zh-CN"/>
        </w:rPr>
        <w:t>的行为。</w:t>
      </w:r>
      <w:r>
        <w:rPr>
          <w:rFonts w:hint="default" w:ascii="Times New Roman" w:hAnsi="Times New Roman" w:eastAsia="仿宋_GB2312" w:cs="Times New Roman"/>
          <w:color w:val="231F20"/>
          <w:spacing w:val="-11"/>
          <w:sz w:val="32"/>
          <w:szCs w:val="32"/>
          <w:lang w:eastAsia="zh-CN"/>
        </w:rPr>
        <w:t>上述事实，主要有以下证据证明：</w:t>
      </w:r>
    </w:p>
    <w:p w14:paraId="7D9E46FF">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highlight w:val="none"/>
          <w:lang w:eastAsia="zh-CN"/>
        </w:rPr>
        <w:t>1.当事人《营业执照》《医疗器械生产许可证》、一次性使用桡动脉止血器《医疗器械注册证》及其产品技术要求等材料复印件各1份，证明当事人生产一次性使用桡动脉止血器的资质情况。</w:t>
      </w:r>
    </w:p>
    <w:p w14:paraId="1DFC1290">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highlight w:val="none"/>
          <w:lang w:eastAsia="zh-CN"/>
        </w:rPr>
        <w:t>2.现场笔录、询问笔录、星火微光法定代表人/企业负责人王</w:t>
      </w:r>
      <w:r>
        <w:rPr>
          <w:rFonts w:hint="eastAsia" w:ascii="Times New Roman" w:hAnsi="Times New Roman" w:eastAsia="仿宋_GB2312" w:cs="Times New Roman"/>
          <w:highlight w:val="none"/>
          <w:lang w:val="en-US" w:eastAsia="zh-CN"/>
        </w:rPr>
        <w:t>**</w:t>
      </w:r>
      <w:r>
        <w:rPr>
          <w:rFonts w:hint="default" w:ascii="Times New Roman" w:hAnsi="Times New Roman" w:eastAsia="仿宋_GB2312" w:cs="Times New Roman"/>
          <w:highlight w:val="none"/>
          <w:lang w:eastAsia="zh-CN"/>
        </w:rPr>
        <w:t>、管理者代表王</w:t>
      </w:r>
      <w:r>
        <w:rPr>
          <w:rFonts w:hint="eastAsia" w:ascii="Times New Roman" w:hAnsi="Times New Roman" w:eastAsia="仿宋_GB2312" w:cs="Times New Roman"/>
          <w:highlight w:val="none"/>
          <w:lang w:val="en-US" w:eastAsia="zh-CN"/>
        </w:rPr>
        <w:t>**</w:t>
      </w:r>
      <w:r>
        <w:rPr>
          <w:rFonts w:hint="default" w:ascii="Times New Roman" w:hAnsi="Times New Roman" w:eastAsia="仿宋_GB2312" w:cs="Times New Roman"/>
          <w:highlight w:val="none"/>
          <w:lang w:eastAsia="zh-CN"/>
        </w:rPr>
        <w:t>等人员身份证复印件各1份，证明当事人相关人员的身份、职务情况；法定代表人王</w:t>
      </w:r>
      <w:r>
        <w:rPr>
          <w:rFonts w:hint="eastAsia" w:ascii="Times New Roman" w:hAnsi="Times New Roman" w:eastAsia="仿宋_GB2312" w:cs="Times New Roman"/>
          <w:highlight w:val="none"/>
          <w:lang w:val="en-US" w:eastAsia="zh-CN"/>
        </w:rPr>
        <w:t>**</w:t>
      </w:r>
      <w:r>
        <w:rPr>
          <w:rFonts w:hint="default" w:ascii="Times New Roman" w:hAnsi="Times New Roman" w:eastAsia="仿宋_GB2312" w:cs="Times New Roman"/>
          <w:highlight w:val="none"/>
          <w:lang w:eastAsia="zh-CN"/>
        </w:rPr>
        <w:t>《委托授权书》1份，说明当事人的授权情况。</w:t>
      </w:r>
    </w:p>
    <w:p w14:paraId="40906177">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highlight w:val="none"/>
          <w:lang w:eastAsia="zh-CN"/>
        </w:rPr>
        <w:t>3.江苏省医疗器械检验所《检验报告》（编号：2026GC0128，检验类别：国家监督抽验）及送达告知书等复印件各1份，证明案件来源及送达情况。</w:t>
      </w:r>
    </w:p>
    <w:p w14:paraId="7096A7E0">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highlight w:val="none"/>
          <w:lang w:eastAsia="zh-CN"/>
        </w:rPr>
        <w:t>4.当事人涉案批次一次性使用桡动脉止血器批生产记录、物料进货检验记录、成品检验报告、成品货位卡、成品入库台账、留样台账、留样及库存照片等材料复印件各1份，说明当事人涉案批次产品的生产、检验及留样情况。</w:t>
      </w:r>
    </w:p>
    <w:p w14:paraId="60A4EC99">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highlight w:val="none"/>
          <w:lang w:eastAsia="zh-CN"/>
        </w:rPr>
        <w:t>5.当事人《一次性使用桡动脉止血器成品检验规程》《一次性使用桡动脉止血器进货检验规程》材料复印件各1份，说明涉案产品检验操作等情况。</w:t>
      </w:r>
    </w:p>
    <w:p w14:paraId="39388ED9">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highlight w:val="none"/>
          <w:lang w:eastAsia="zh-CN"/>
        </w:rPr>
        <w:t>6.当事人《采取风险控制措施及复检告知承诺书》《抽检不合格品采取措施的承诺书》《一次性使用桡动脉止血器抽检不合格分析报告》原件各1份，说明当事人采取风险控制、原因分析等情况。</w:t>
      </w:r>
    </w:p>
    <w:p w14:paraId="6E1413B5">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highlight w:val="none"/>
          <w:lang w:eastAsia="zh-CN"/>
        </w:rPr>
        <w:t>7.星火微光《销售合同》复印件1份，证明涉案产品的销售单价。</w:t>
      </w:r>
    </w:p>
    <w:p w14:paraId="32881A72">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eastAsia" w:ascii="Times New Roman" w:hAnsi="Times New Roman" w:eastAsia="仿宋_GB2312" w:cs="Times New Roman"/>
          <w:highlight w:val="none"/>
          <w:lang w:val="en-US" w:eastAsia="zh-CN"/>
        </w:rPr>
      </w:pPr>
      <w:r>
        <w:rPr>
          <w:rFonts w:hint="default" w:ascii="Times New Roman" w:hAnsi="Times New Roman" w:eastAsia="仿宋_GB2312" w:cs="Times New Roman"/>
          <w:highlight w:val="none"/>
          <w:lang w:eastAsia="zh-CN"/>
        </w:rPr>
        <w:t>8.当事人的国家企业信用信息公示系统检索结果网页截图（检索时间：2026年9月8日），说明当事人系初次违法</w:t>
      </w:r>
      <w:r>
        <w:rPr>
          <w:rFonts w:hint="eastAsia" w:ascii="Times New Roman" w:hAnsi="Times New Roman" w:eastAsia="仿宋_GB2312" w:cs="Times New Roman"/>
          <w:highlight w:val="none"/>
          <w:lang w:eastAsia="zh-CN"/>
        </w:rPr>
        <w:t>。</w:t>
      </w:r>
    </w:p>
    <w:p w14:paraId="30B7F10F">
      <w:pPr>
        <w:pStyle w:val="3"/>
        <w:keepNext w:val="0"/>
        <w:keepLines w:val="0"/>
        <w:pageBreakBefore w:val="0"/>
        <w:widowControl w:val="0"/>
        <w:kinsoku/>
        <w:wordWrap/>
        <w:overflowPunct/>
        <w:topLinePunct w:val="0"/>
        <w:autoSpaceDE/>
        <w:autoSpaceDN/>
        <w:bidi w:val="0"/>
        <w:adjustRightInd/>
        <w:snapToGrid w:val="0"/>
        <w:spacing w:line="576" w:lineRule="exact"/>
        <w:ind w:left="0" w:firstLine="640" w:firstLineChars="200"/>
        <w:jc w:val="both"/>
        <w:textAlignment w:val="auto"/>
        <w:rPr>
          <w:rFonts w:hint="default" w:ascii="Times New Roman" w:hAnsi="Times New Roman" w:eastAsia="仿宋_GB2312" w:cs="Times New Roman"/>
          <w:w w:val="99"/>
          <w:lang w:eastAsia="zh-CN"/>
        </w:rPr>
      </w:pPr>
      <w:r>
        <w:rPr>
          <w:rFonts w:hint="default" w:ascii="Times New Roman" w:hAnsi="Times New Roman" w:eastAsia="仿宋_GB2312" w:cs="Times New Roman"/>
          <w:lang w:eastAsia="zh-CN"/>
        </w:rPr>
        <w:t>202</w:t>
      </w:r>
      <w:r>
        <w:rPr>
          <w:rFonts w:hint="default" w:ascii="Times New Roman" w:hAnsi="Times New Roman" w:eastAsia="仿宋_GB2312" w:cs="Times New Roman"/>
          <w:lang w:val="en-US" w:eastAsia="zh-CN"/>
        </w:rPr>
        <w:t>6</w:t>
      </w:r>
      <w:r>
        <w:rPr>
          <w:rFonts w:hint="default" w:ascii="Times New Roman" w:hAnsi="Times New Roman" w:eastAsia="仿宋_GB2312" w:cs="Times New Roman"/>
          <w:lang w:eastAsia="zh-CN"/>
        </w:rPr>
        <w:t>年</w:t>
      </w:r>
      <w:r>
        <w:rPr>
          <w:rFonts w:hint="default" w:ascii="Times New Roman" w:hAnsi="Times New Roman" w:eastAsia="仿宋_GB2312" w:cs="Times New Roman"/>
          <w:lang w:val="en-US" w:eastAsia="zh-CN"/>
        </w:rPr>
        <w:t>9</w:t>
      </w:r>
      <w:r>
        <w:rPr>
          <w:rFonts w:hint="default" w:ascii="Times New Roman" w:hAnsi="Times New Roman" w:eastAsia="仿宋_GB2312" w:cs="Times New Roman"/>
          <w:lang w:eastAsia="zh-CN"/>
        </w:rPr>
        <w:t>月</w:t>
      </w:r>
      <w:r>
        <w:rPr>
          <w:rFonts w:hint="eastAsia" w:ascii="Times New Roman" w:hAnsi="Times New Roman" w:eastAsia="仿宋_GB2312" w:cs="Times New Roman"/>
          <w:lang w:val="en-US" w:eastAsia="zh-CN"/>
        </w:rPr>
        <w:t>29</w:t>
      </w:r>
      <w:r>
        <w:rPr>
          <w:rFonts w:hint="default" w:ascii="Times New Roman" w:hAnsi="Times New Roman" w:eastAsia="仿宋_GB2312" w:cs="Times New Roman"/>
          <w:lang w:eastAsia="zh-CN"/>
        </w:rPr>
        <w:t>日，我局</w:t>
      </w:r>
      <w:r>
        <w:rPr>
          <w:rFonts w:hint="default" w:ascii="Times New Roman" w:hAnsi="Times New Roman" w:eastAsia="仿宋_GB2312" w:cs="Times New Roman"/>
          <w:w w:val="99"/>
          <w:lang w:eastAsia="zh-CN"/>
        </w:rPr>
        <w:t>向</w:t>
      </w:r>
      <w:r>
        <w:rPr>
          <w:rFonts w:hint="eastAsia" w:ascii="Times New Roman" w:hAnsi="Times New Roman" w:eastAsia="仿宋_GB2312" w:cs="Times New Roman"/>
          <w:lang w:val="en-US" w:eastAsia="zh-CN"/>
        </w:rPr>
        <w:t>星火微光</w:t>
      </w:r>
      <w:r>
        <w:rPr>
          <w:rFonts w:hint="default" w:ascii="Times New Roman" w:hAnsi="Times New Roman" w:eastAsia="仿宋_GB2312" w:cs="Times New Roman"/>
          <w:w w:val="99"/>
          <w:lang w:eastAsia="zh-CN"/>
        </w:rPr>
        <w:t>送达</w:t>
      </w:r>
      <w:r>
        <w:rPr>
          <w:rFonts w:hint="default" w:ascii="Times New Roman" w:hAnsi="Times New Roman" w:eastAsia="仿宋_GB2312" w:cs="Times New Roman"/>
          <w:w w:val="99"/>
          <w:lang w:val="en-US" w:eastAsia="zh-CN"/>
        </w:rPr>
        <w:t>了</w:t>
      </w:r>
      <w:r>
        <w:rPr>
          <w:rFonts w:hint="default" w:ascii="Times New Roman" w:hAnsi="Times New Roman" w:eastAsia="仿宋_GB2312" w:cs="Times New Roman"/>
          <w:w w:val="99"/>
          <w:lang w:eastAsia="zh-CN"/>
        </w:rPr>
        <w:t>《行政处罚告知书》（闽药监厦稽办</w:t>
      </w:r>
      <w:r>
        <w:rPr>
          <w:rFonts w:hint="eastAsia" w:ascii="Times New Roman" w:hAnsi="Times New Roman" w:eastAsia="仿宋_GB2312" w:cs="Times New Roman"/>
          <w:w w:val="99"/>
          <w:lang w:val="en-US" w:eastAsia="zh-CN"/>
        </w:rPr>
        <w:t>罚告</w:t>
      </w:r>
      <w:r>
        <w:rPr>
          <w:rFonts w:hint="default" w:ascii="Times New Roman" w:hAnsi="Times New Roman" w:eastAsia="仿宋_GB2312" w:cs="Times New Roman"/>
          <w:w w:val="99"/>
          <w:lang w:eastAsia="zh-CN"/>
        </w:rPr>
        <w:t>〔202</w:t>
      </w:r>
      <w:r>
        <w:rPr>
          <w:rFonts w:hint="default" w:ascii="Times New Roman" w:hAnsi="Times New Roman" w:eastAsia="仿宋_GB2312" w:cs="Times New Roman"/>
          <w:w w:val="99"/>
          <w:lang w:val="en-US" w:eastAsia="zh-CN"/>
        </w:rPr>
        <w:t>6</w:t>
      </w:r>
      <w:r>
        <w:rPr>
          <w:rFonts w:hint="default" w:ascii="Times New Roman" w:hAnsi="Times New Roman" w:eastAsia="仿宋_GB2312" w:cs="Times New Roman"/>
          <w:w w:val="99"/>
          <w:lang w:eastAsia="zh-CN"/>
        </w:rPr>
        <w:t>〕</w:t>
      </w:r>
      <w:r>
        <w:rPr>
          <w:rFonts w:hint="eastAsia" w:ascii="Times New Roman" w:hAnsi="Times New Roman" w:eastAsia="仿宋_GB2312" w:cs="Times New Roman"/>
          <w:w w:val="99"/>
          <w:lang w:val="en-US" w:eastAsia="zh-CN"/>
        </w:rPr>
        <w:t>12</w:t>
      </w:r>
      <w:r>
        <w:rPr>
          <w:rFonts w:hint="default" w:ascii="Times New Roman" w:hAnsi="Times New Roman" w:eastAsia="仿宋_GB2312" w:cs="Times New Roman"/>
          <w:w w:val="99"/>
          <w:lang w:eastAsia="zh-CN"/>
        </w:rPr>
        <w:t>号），告知拟作出行政处罚决定的事实、理由及依据，并告知其依法享有陈述权、申辩权的权利。在法定期限内，</w:t>
      </w:r>
      <w:r>
        <w:rPr>
          <w:rFonts w:hint="eastAsia" w:ascii="Times New Roman" w:hAnsi="Times New Roman" w:eastAsia="仿宋_GB2312" w:cs="Times New Roman"/>
          <w:lang w:val="en-US" w:eastAsia="zh-CN"/>
        </w:rPr>
        <w:t>星火微光</w:t>
      </w:r>
      <w:r>
        <w:rPr>
          <w:rFonts w:hint="default" w:ascii="Times New Roman" w:hAnsi="Times New Roman" w:eastAsia="仿宋_GB2312" w:cs="Times New Roman"/>
          <w:w w:val="99"/>
          <w:lang w:eastAsia="zh-CN"/>
        </w:rPr>
        <w:t>未向我局提出陈述、申辩和听证要求。</w:t>
      </w:r>
    </w:p>
    <w:p w14:paraId="0D3A3107">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我局认为，</w:t>
      </w:r>
      <w:r>
        <w:rPr>
          <w:rFonts w:hint="eastAsia" w:ascii="Times New Roman" w:hAnsi="Times New Roman" w:eastAsia="仿宋_GB2312" w:cs="Times New Roman"/>
          <w:sz w:val="32"/>
          <w:szCs w:val="32"/>
          <w:lang w:val="en-US" w:eastAsia="zh-CN"/>
        </w:rPr>
        <w:t>星火微光</w:t>
      </w:r>
      <w:r>
        <w:rPr>
          <w:rFonts w:hint="default" w:ascii="Times New Roman" w:hAnsi="Times New Roman" w:eastAsia="仿宋_GB2312" w:cs="Times New Roman"/>
          <w:sz w:val="32"/>
          <w:szCs w:val="32"/>
          <w:lang w:eastAsia="zh-CN"/>
        </w:rPr>
        <w:t>违反了《医疗器械监督管理条例》第三十五条第一款之规定，构成了生产不符合经注册产品技术要求的</w:t>
      </w:r>
      <w:r>
        <w:rPr>
          <w:rFonts w:hint="eastAsia" w:ascii="Times New Roman" w:hAnsi="Times New Roman" w:eastAsia="仿宋_GB2312" w:cs="Times New Roman"/>
          <w:sz w:val="32"/>
          <w:szCs w:val="32"/>
          <w:lang w:eastAsia="zh-CN"/>
        </w:rPr>
        <w:t>一次性使用桡动脉止血器</w:t>
      </w:r>
      <w:r>
        <w:rPr>
          <w:rFonts w:hint="default" w:ascii="Times New Roman" w:hAnsi="Times New Roman" w:eastAsia="仿宋_GB2312" w:cs="Times New Roman"/>
          <w:sz w:val="32"/>
          <w:szCs w:val="32"/>
          <w:lang w:eastAsia="zh-CN"/>
        </w:rPr>
        <w:t>的违法行为。</w:t>
      </w:r>
    </w:p>
    <w:p w14:paraId="2AB268D3">
      <w:pPr>
        <w:pStyle w:val="6"/>
        <w:keepNext w:val="0"/>
        <w:keepLines w:val="0"/>
        <w:pageBreakBefore w:val="0"/>
        <w:widowControl/>
        <w:suppressLineNumbers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在调查取证阶段，当事人积极配合调查，系初次违法且涉案产品尚未销售，符合《福建省药品监管行政处罚裁量适用细则》第十一条第一款第二项、第三项、第七项的规定，按从轻处罚等级量罚，参照《福建省医疗器械行政处罚裁量基准（试行）》QX-11的规定，因涉案批次的的一次性使用桡动脉止血器货值金额为7500元，不足10000元，即处罚20000元。</w:t>
      </w:r>
    </w:p>
    <w:p w14:paraId="5F93C218">
      <w:pPr>
        <w:pStyle w:val="6"/>
        <w:keepNext w:val="0"/>
        <w:keepLines w:val="0"/>
        <w:pageBreakBefore w:val="0"/>
        <w:widowControl/>
        <w:suppressLineNumbers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依据《医疗器械监督管理条例》第八十六条第一项的规定，</w:t>
      </w:r>
      <w:r>
        <w:rPr>
          <w:rFonts w:hint="eastAsia" w:ascii="Times New Roman" w:hAnsi="Times New Roman" w:eastAsia="仿宋_GB2312" w:cs="Times New Roman"/>
          <w:color w:val="auto"/>
          <w:sz w:val="32"/>
          <w:szCs w:val="32"/>
          <w:u w:val="none"/>
          <w:lang w:val="en-US" w:eastAsia="zh-CN"/>
        </w:rPr>
        <w:t>决定</w:t>
      </w:r>
      <w:r>
        <w:rPr>
          <w:rFonts w:hint="default" w:ascii="Times New Roman" w:hAnsi="Times New Roman" w:eastAsia="仿宋_GB2312" w:cs="Times New Roman"/>
          <w:color w:val="auto"/>
          <w:sz w:val="32"/>
          <w:szCs w:val="32"/>
          <w:u w:val="none"/>
          <w:lang w:val="en-US" w:eastAsia="zh-CN"/>
        </w:rPr>
        <w:t>责令</w:t>
      </w:r>
      <w:r>
        <w:rPr>
          <w:rFonts w:hint="eastAsia" w:ascii="Times New Roman" w:hAnsi="Times New Roman" w:eastAsia="仿宋_GB2312" w:cs="Times New Roman"/>
          <w:color w:val="auto"/>
          <w:sz w:val="32"/>
          <w:szCs w:val="32"/>
          <w:u w:val="none"/>
          <w:lang w:val="en-US" w:eastAsia="zh-CN"/>
        </w:rPr>
        <w:t>星火微光</w:t>
      </w:r>
      <w:r>
        <w:rPr>
          <w:rFonts w:hint="default" w:ascii="Times New Roman" w:hAnsi="Times New Roman" w:eastAsia="仿宋_GB2312" w:cs="Times New Roman"/>
          <w:color w:val="auto"/>
          <w:sz w:val="32"/>
          <w:szCs w:val="32"/>
          <w:u w:val="none"/>
          <w:lang w:val="en-US" w:eastAsia="zh-CN"/>
        </w:rPr>
        <w:t>改正上述违法行为，并给予如下处罚：</w:t>
      </w:r>
    </w:p>
    <w:p w14:paraId="1C775E4D">
      <w:pPr>
        <w:keepNext w:val="0"/>
        <w:keepLines w:val="0"/>
        <w:pageBreakBefore w:val="0"/>
        <w:kinsoku/>
        <w:wordWrap/>
        <w:overflowPunct/>
        <w:topLinePunct w:val="0"/>
        <w:autoSpaceDE/>
        <w:autoSpaceDN/>
        <w:bidi w:val="0"/>
        <w:snapToGrid w:val="0"/>
        <w:spacing w:line="576"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（一）没收违法生产的生产批号为26052801、规格型号为XH-RDM的一次性使用桡动脉止血器275个；</w:t>
      </w:r>
    </w:p>
    <w:p w14:paraId="161943F0">
      <w:pPr>
        <w:keepNext w:val="0"/>
        <w:keepLines w:val="0"/>
        <w:pageBreakBefore w:val="0"/>
        <w:kinsoku/>
        <w:wordWrap/>
        <w:overflowPunct/>
        <w:topLinePunct w:val="0"/>
        <w:autoSpaceDE/>
        <w:autoSpaceDN/>
        <w:bidi w:val="0"/>
        <w:snapToGrid w:val="0"/>
        <w:spacing w:line="576"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（二）罚款20000元</w:t>
      </w:r>
      <w:r>
        <w:rPr>
          <w:rFonts w:hint="eastAsia" w:ascii="Times New Roman" w:hAnsi="Times New Roman" w:eastAsia="仿宋_GB2312" w:cs="Times New Roman"/>
          <w:color w:val="auto"/>
          <w:sz w:val="32"/>
          <w:szCs w:val="32"/>
          <w:u w:val="none"/>
          <w:lang w:val="en-US" w:eastAsia="zh-CN"/>
        </w:rPr>
        <w:t>整</w:t>
      </w:r>
      <w:r>
        <w:rPr>
          <w:rFonts w:hint="default" w:ascii="Times New Roman" w:hAnsi="Times New Roman" w:eastAsia="仿宋_GB2312" w:cs="Times New Roman"/>
          <w:color w:val="auto"/>
          <w:sz w:val="32"/>
          <w:szCs w:val="32"/>
          <w:u w:val="none"/>
          <w:lang w:val="en-US" w:eastAsia="zh-CN"/>
        </w:rPr>
        <w:t>。</w:t>
      </w:r>
    </w:p>
    <w:p w14:paraId="6C317F7A">
      <w:pPr>
        <w:keepNext w:val="0"/>
        <w:keepLines w:val="0"/>
        <w:pageBreakBefore w:val="0"/>
        <w:kinsoku/>
        <w:wordWrap/>
        <w:overflowPunct/>
        <w:topLinePunct w:val="0"/>
        <w:autoSpaceDE/>
        <w:autoSpaceDN/>
        <w:bidi w:val="0"/>
        <w:snapToGrid w:val="0"/>
        <w:spacing w:line="576"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上述罚没款合计20000元（贰万元整）</w:t>
      </w:r>
    </w:p>
    <w:p w14:paraId="10902A06">
      <w:pPr>
        <w:keepNext w:val="0"/>
        <w:keepLines w:val="0"/>
        <w:pageBreakBefore w:val="0"/>
        <w:kinsoku/>
        <w:wordWrap/>
        <w:overflowPunct/>
        <w:topLinePunct w:val="0"/>
        <w:autoSpaceDE/>
        <w:autoSpaceDN/>
        <w:bidi w:val="0"/>
        <w:snapToGrid w:val="0"/>
        <w:spacing w:line="576" w:lineRule="exact"/>
        <w:ind w:firstLine="640" w:firstLineChars="200"/>
        <w:textAlignment w:val="auto"/>
        <w:rPr>
          <w:rFonts w:hint="default" w:ascii="Times New Roman" w:hAnsi="Times New Roman" w:eastAsia="仿宋_GB2312" w:cs="Times New Roman"/>
          <w:kern w:val="1"/>
          <w:sz w:val="32"/>
          <w:szCs w:val="32"/>
        </w:rPr>
      </w:pPr>
      <w:r>
        <w:rPr>
          <w:rFonts w:hint="default" w:ascii="Times New Roman" w:hAnsi="Times New Roman" w:eastAsia="仿宋_GB2312" w:cs="Times New Roman"/>
          <w:kern w:val="1"/>
          <w:sz w:val="32"/>
          <w:szCs w:val="32"/>
        </w:rPr>
        <w:t>当事人应自接到本行政处罚决定之日起15日内缴纳上述罚没款。根据我</w:t>
      </w:r>
      <w:r>
        <w:rPr>
          <w:rFonts w:hint="default" w:ascii="Times New Roman" w:hAnsi="Times New Roman" w:eastAsia="仿宋_GB2312" w:cs="Times New Roman"/>
          <w:kern w:val="1"/>
          <w:sz w:val="32"/>
          <w:szCs w:val="32"/>
          <w:lang w:eastAsia="zh-CN"/>
        </w:rPr>
        <w:t>局</w:t>
      </w:r>
      <w:r>
        <w:rPr>
          <w:rFonts w:hint="default" w:ascii="Times New Roman" w:hAnsi="Times New Roman" w:eastAsia="仿宋_GB2312" w:cs="Times New Roman"/>
          <w:kern w:val="1"/>
          <w:sz w:val="32"/>
          <w:szCs w:val="32"/>
        </w:rPr>
        <w:t>开具的行政处罚缴款通知书，当事人自行选择缴款方式。逾期不缴纳罚款的，依据《中华人民共和国行政处罚法》第七十二条的规定，我</w:t>
      </w:r>
      <w:r>
        <w:rPr>
          <w:rFonts w:hint="default" w:ascii="Times New Roman" w:hAnsi="Times New Roman" w:eastAsia="仿宋_GB2312" w:cs="Times New Roman"/>
          <w:kern w:val="1"/>
          <w:sz w:val="32"/>
          <w:szCs w:val="32"/>
          <w:lang w:eastAsia="zh-CN"/>
        </w:rPr>
        <w:t>局</w:t>
      </w:r>
      <w:r>
        <w:rPr>
          <w:rFonts w:hint="default" w:ascii="Times New Roman" w:hAnsi="Times New Roman" w:eastAsia="仿宋_GB2312" w:cs="Times New Roman"/>
          <w:kern w:val="1"/>
          <w:sz w:val="32"/>
          <w:szCs w:val="32"/>
        </w:rPr>
        <w:t xml:space="preserve">将每日按罚款数额的百分之三加处罚款，并依法申请人民法院强制执行。 </w:t>
      </w:r>
    </w:p>
    <w:p w14:paraId="323E8294">
      <w:pPr>
        <w:keepNext w:val="0"/>
        <w:keepLines w:val="0"/>
        <w:pageBreakBefore w:val="0"/>
        <w:kinsoku/>
        <w:wordWrap/>
        <w:overflowPunct/>
        <w:topLinePunct w:val="0"/>
        <w:autoSpaceDE/>
        <w:autoSpaceDN/>
        <w:bidi w:val="0"/>
        <w:snapToGrid w:val="0"/>
        <w:spacing w:line="576"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当事人如不服本行政处罚决定，可以在收到本行政处罚决定书之日起六十日内向福建省人民政府申请行政复议；也可以在六个月内依法向</w:t>
      </w:r>
      <w:r>
        <w:rPr>
          <w:rFonts w:hint="default" w:ascii="Times New Roman" w:hAnsi="Times New Roman" w:eastAsia="仿宋_GB2312" w:cs="Times New Roman"/>
          <w:color w:val="000000"/>
          <w:sz w:val="32"/>
          <w:szCs w:val="32"/>
          <w:lang w:eastAsia="zh-CN"/>
        </w:rPr>
        <w:t>福州市鼓楼区</w:t>
      </w:r>
      <w:r>
        <w:rPr>
          <w:rFonts w:hint="default" w:ascii="Times New Roman" w:hAnsi="Times New Roman" w:eastAsia="仿宋_GB2312" w:cs="Times New Roman"/>
          <w:color w:val="000000"/>
          <w:sz w:val="32"/>
          <w:szCs w:val="32"/>
        </w:rPr>
        <w:t>人民法院提起行政诉讼。申请行政复议或者提起行政诉讼期间，行政处罚不停止执行。</w:t>
      </w:r>
    </w:p>
    <w:p w14:paraId="792138D6">
      <w:pPr>
        <w:keepNext w:val="0"/>
        <w:keepLines w:val="0"/>
        <w:pageBreakBefore w:val="0"/>
        <w:kinsoku/>
        <w:wordWrap/>
        <w:overflowPunct/>
        <w:topLinePunct w:val="0"/>
        <w:autoSpaceDE/>
        <w:autoSpaceDN/>
        <w:bidi w:val="0"/>
        <w:snapToGrid w:val="0"/>
        <w:spacing w:line="576" w:lineRule="exact"/>
        <w:ind w:right="1280"/>
        <w:textAlignment w:val="auto"/>
        <w:rPr>
          <w:rFonts w:hint="default" w:ascii="Times New Roman" w:hAnsi="Times New Roman" w:eastAsia="仿宋_GB2312" w:cs="Times New Roman"/>
          <w:sz w:val="32"/>
          <w:szCs w:val="32"/>
        </w:rPr>
      </w:pPr>
    </w:p>
    <w:p w14:paraId="73166814">
      <w:pPr>
        <w:keepNext w:val="0"/>
        <w:keepLines w:val="0"/>
        <w:pageBreakBefore w:val="0"/>
        <w:kinsoku/>
        <w:wordWrap/>
        <w:overflowPunct/>
        <w:topLinePunct w:val="0"/>
        <w:autoSpaceDE/>
        <w:autoSpaceDN/>
        <w:bidi w:val="0"/>
        <w:snapToGrid w:val="0"/>
        <w:spacing w:line="576" w:lineRule="exact"/>
        <w:jc w:val="center"/>
        <w:textAlignment w:val="auto"/>
        <w:rPr>
          <w:rFonts w:hint="default" w:ascii="Times New Roman" w:hAnsi="Times New Roman" w:eastAsia="仿宋_GB2312" w:cs="Times New Roman"/>
          <w:sz w:val="32"/>
          <w:szCs w:val="32"/>
        </w:rPr>
      </w:pPr>
    </w:p>
    <w:p w14:paraId="0F7C64A1">
      <w:pPr>
        <w:keepNext w:val="0"/>
        <w:keepLines w:val="0"/>
        <w:pageBreakBefore w:val="0"/>
        <w:kinsoku/>
        <w:wordWrap/>
        <w:overflowPunct/>
        <w:topLinePunct w:val="0"/>
        <w:autoSpaceDE/>
        <w:autoSpaceDN/>
        <w:bidi w:val="0"/>
        <w:snapToGrid w:val="0"/>
        <w:spacing w:line="576" w:lineRule="exact"/>
        <w:jc w:val="both"/>
        <w:textAlignment w:val="auto"/>
        <w:rPr>
          <w:rFonts w:hint="default" w:ascii="Times New Roman" w:hAnsi="Times New Roman" w:eastAsia="仿宋_GB2312" w:cs="Times New Roman"/>
          <w:sz w:val="32"/>
          <w:szCs w:val="32"/>
        </w:rPr>
      </w:pPr>
    </w:p>
    <w:p w14:paraId="07B315FD">
      <w:pPr>
        <w:keepNext w:val="0"/>
        <w:keepLines w:val="0"/>
        <w:pageBreakBefore w:val="0"/>
        <w:kinsoku/>
        <w:wordWrap/>
        <w:overflowPunct/>
        <w:topLinePunct w:val="0"/>
        <w:autoSpaceDE/>
        <w:autoSpaceDN/>
        <w:bidi w:val="0"/>
        <w:adjustRightInd w:val="0"/>
        <w:snapToGrid w:val="0"/>
        <w:spacing w:line="576" w:lineRule="exact"/>
        <w:ind w:left="4452" w:leftChars="2120" w:firstLine="320" w:firstLineChars="1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福建省药品监督管理局</w:t>
      </w:r>
    </w:p>
    <w:p w14:paraId="33FFC6E7">
      <w:pPr>
        <w:keepNext w:val="0"/>
        <w:keepLines w:val="0"/>
        <w:pageBreakBefore w:val="0"/>
        <w:kinsoku/>
        <w:wordWrap/>
        <w:overflowPunct/>
        <w:topLinePunct w:val="0"/>
        <w:autoSpaceDE/>
        <w:autoSpaceDN/>
        <w:bidi w:val="0"/>
        <w:adjustRightInd w:val="0"/>
        <w:snapToGrid w:val="0"/>
        <w:spacing w:line="576" w:lineRule="exact"/>
        <w:ind w:left="4452" w:leftChars="212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日</w:t>
      </w:r>
      <w:r>
        <w:rPr>
          <w:rFonts w:hint="default" w:ascii="Times New Roman" w:hAnsi="Times New Roman" w:eastAsia="仿宋_GB2312" w:cs="Times New Roman"/>
          <w:sz w:val="32"/>
          <w:szCs w:val="32"/>
          <w:lang w:val="en-US" w:eastAsia="zh-CN"/>
        </w:rPr>
        <w:t xml:space="preserve"> </w:t>
      </w:r>
    </w:p>
    <w:p w14:paraId="1D9BF8E1">
      <w:pPr>
        <w:keepNext w:val="0"/>
        <w:keepLines w:val="0"/>
        <w:pageBreakBefore w:val="0"/>
        <w:kinsoku/>
        <w:wordWrap/>
        <w:overflowPunct/>
        <w:topLinePunct w:val="0"/>
        <w:autoSpaceDE/>
        <w:autoSpaceDN/>
        <w:bidi w:val="0"/>
        <w:adjustRightInd w:val="0"/>
        <w:snapToGrid w:val="0"/>
        <w:spacing w:line="576" w:lineRule="exact"/>
        <w:textAlignment w:val="auto"/>
        <w:rPr>
          <w:rFonts w:hint="default" w:ascii="Times New Roman" w:hAnsi="Times New Roman" w:eastAsia="仿宋" w:cs="Times New Roman"/>
          <w:sz w:val="32"/>
          <w:szCs w:val="32"/>
          <w:lang w:val="en-US" w:eastAsia="zh-CN"/>
        </w:rPr>
      </w:pPr>
    </w:p>
    <w:p w14:paraId="2EB1BE7C">
      <w:pPr>
        <w:keepNext w:val="0"/>
        <w:keepLines w:val="0"/>
        <w:pageBreakBefore w:val="0"/>
        <w:kinsoku/>
        <w:wordWrap/>
        <w:overflowPunct/>
        <w:topLinePunct w:val="0"/>
        <w:autoSpaceDE/>
        <w:autoSpaceDN/>
        <w:bidi w:val="0"/>
        <w:adjustRightInd w:val="0"/>
        <w:snapToGrid w:val="0"/>
        <w:spacing w:line="576" w:lineRule="exact"/>
        <w:textAlignment w:val="auto"/>
        <w:rPr>
          <w:rFonts w:hint="default" w:ascii="Times New Roman" w:hAnsi="Times New Roman" w:eastAsia="仿宋" w:cs="Times New Roman"/>
          <w:sz w:val="32"/>
          <w:szCs w:val="32"/>
          <w:lang w:val="en-US" w:eastAsia="zh-CN"/>
        </w:rPr>
      </w:pPr>
    </w:p>
    <w:p w14:paraId="17CAED7F">
      <w:pPr>
        <w:keepNext w:val="0"/>
        <w:keepLines w:val="0"/>
        <w:pageBreakBefore w:val="0"/>
        <w:kinsoku/>
        <w:wordWrap/>
        <w:overflowPunct/>
        <w:topLinePunct w:val="0"/>
        <w:autoSpaceDE/>
        <w:autoSpaceDN/>
        <w:bidi w:val="0"/>
        <w:adjustRightInd w:val="0"/>
        <w:snapToGrid w:val="0"/>
        <w:spacing w:line="576" w:lineRule="exact"/>
        <w:textAlignment w:val="auto"/>
        <w:rPr>
          <w:rFonts w:hint="default" w:ascii="Times New Roman" w:hAnsi="Times New Roman" w:eastAsia="仿宋" w:cs="Times New Roman"/>
          <w:sz w:val="32"/>
          <w:szCs w:val="32"/>
          <w:lang w:val="en-US" w:eastAsia="zh-CN"/>
        </w:rPr>
      </w:pPr>
    </w:p>
    <w:p w14:paraId="0A1BFE0A">
      <w:pPr>
        <w:keepNext w:val="0"/>
        <w:keepLines w:val="0"/>
        <w:pageBreakBefore w:val="0"/>
        <w:kinsoku/>
        <w:wordWrap/>
        <w:overflowPunct/>
        <w:topLinePunct w:val="0"/>
        <w:autoSpaceDE/>
        <w:autoSpaceDN/>
        <w:bidi w:val="0"/>
        <w:adjustRightInd w:val="0"/>
        <w:snapToGrid w:val="0"/>
        <w:spacing w:line="576" w:lineRule="exact"/>
        <w:textAlignment w:val="auto"/>
        <w:rPr>
          <w:rFonts w:hint="default" w:ascii="Times New Roman" w:hAnsi="Times New Roman" w:eastAsia="仿宋" w:cs="Times New Roman"/>
          <w:sz w:val="32"/>
          <w:szCs w:val="32"/>
          <w:lang w:val="en-US" w:eastAsia="zh-CN"/>
        </w:rPr>
      </w:pPr>
      <w:bookmarkStart w:id="0" w:name="_GoBack"/>
      <w:bookmarkEnd w:id="0"/>
    </w:p>
    <w:p w14:paraId="510C463A">
      <w:pPr>
        <w:keepNext w:val="0"/>
        <w:keepLines w:val="0"/>
        <w:pageBreakBefore w:val="0"/>
        <w:kinsoku/>
        <w:wordWrap/>
        <w:overflowPunct/>
        <w:topLinePunct w:val="0"/>
        <w:autoSpaceDE/>
        <w:autoSpaceDN/>
        <w:bidi w:val="0"/>
        <w:adjustRightInd w:val="0"/>
        <w:snapToGrid w:val="0"/>
        <w:spacing w:line="576" w:lineRule="exact"/>
        <w:textAlignment w:val="auto"/>
        <w:rPr>
          <w:rFonts w:hint="default" w:ascii="Times New Roman" w:hAnsi="Times New Roman" w:eastAsia="仿宋" w:cs="Times New Roman"/>
          <w:kern w:val="0"/>
          <w:sz w:val="30"/>
          <w:szCs w:val="30"/>
        </w:rPr>
      </w:pPr>
      <w:r>
        <w:rPr>
          <w:rFonts w:hint="default" w:ascii="Times New Roman" w:hAnsi="Times New Roman" w:eastAsia="黑体" w:cs="Times New Roman"/>
          <w:kern w:val="0"/>
          <w:sz w:val="30"/>
          <w:szCs w:val="30"/>
        </w:rPr>
        <w:t>(药品监督管理部门将依法向社会公示本行政处罚决定信息)</w:t>
      </w:r>
    </w:p>
    <w:p w14:paraId="338BDE5F">
      <w:pPr>
        <w:keepNext w:val="0"/>
        <w:keepLines w:val="0"/>
        <w:pageBreakBefore w:val="0"/>
        <w:kinsoku/>
        <w:wordWrap/>
        <w:overflowPunct/>
        <w:topLinePunct w:val="0"/>
        <w:autoSpaceDE/>
        <w:autoSpaceDN/>
        <w:bidi w:val="0"/>
        <w:spacing w:line="576" w:lineRule="exact"/>
        <w:textAlignment w:val="auto"/>
        <w:rPr>
          <w:rFonts w:hint="default" w:ascii="Times New Roman" w:hAnsi="Times New Roman" w:eastAsia="华文仿宋" w:cs="Times New Roman"/>
          <w:kern w:val="0"/>
          <w:sz w:val="32"/>
          <w:szCs w:val="32"/>
        </w:rPr>
      </w:pPr>
      <w:r>
        <w:rPr>
          <w:rFonts w:hint="default" w:ascii="Times New Roman" w:hAnsi="Times New Roman" w:cs="Times New Roman"/>
          <w:kern w:val="0"/>
          <w:sz w:val="32"/>
          <w:szCs w:val="22"/>
        </w:rPr>
        <mc:AlternateContent>
          <mc:Choice Requires="wps">
            <w:drawing>
              <wp:anchor distT="0" distB="0" distL="114300" distR="114300" simplePos="0" relativeHeight="251660288" behindDoc="0" locked="0" layoutInCell="1" allowOverlap="1">
                <wp:simplePos x="0" y="0"/>
                <wp:positionH relativeFrom="column">
                  <wp:posOffset>-53975</wp:posOffset>
                </wp:positionH>
                <wp:positionV relativeFrom="paragraph">
                  <wp:posOffset>29210</wp:posOffset>
                </wp:positionV>
                <wp:extent cx="5681345" cy="8890"/>
                <wp:effectExtent l="0" t="0" r="0" b="0"/>
                <wp:wrapNone/>
                <wp:docPr id="2" name="直接连接符 2"/>
                <wp:cNvGraphicFramePr/>
                <a:graphic xmlns:a="http://schemas.openxmlformats.org/drawingml/2006/main">
                  <a:graphicData uri="http://schemas.microsoft.com/office/word/2010/wordprocessingShape">
                    <wps:wsp>
                      <wps:cNvCnPr/>
                      <wps:spPr>
                        <a:xfrm flipV="1">
                          <a:off x="1097280" y="7673340"/>
                          <a:ext cx="5681345" cy="889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4.25pt;margin-top:2.3pt;height:0.7pt;width:447.35pt;z-index:251660288;mso-width-relative:page;mso-height-relative:page;" filled="f" stroked="t" coordsize="21600,21600" o:gfxdata="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XU4bVAAAABgEAAA8AAAAAAAAAAQAgAAAA&#10;IgAAAGRycy9kb3ducmV2LnhtbFBLAQIUABQAAAAIAIdO4kBSZehCDgIAAO0DAAAOAAAAAAAAAAEA&#10;IAAAACQBAABkcnMvZTJvRG9jLnhtbFBLBQYAAAAABgAGAFkBAACkBQAAAAA=&#10;">
                <v:fill on="f" focussize="0,0"/>
                <v:stroke weight="1.5pt" color="#000000" miterlimit="8" joinstyle="miter"/>
                <v:imagedata o:title=""/>
                <o:lock v:ext="edit" aspectratio="f"/>
              </v:line>
            </w:pict>
          </mc:Fallback>
        </mc:AlternateContent>
      </w:r>
      <w:r>
        <w:rPr>
          <w:rFonts w:hint="default" w:ascii="Times New Roman" w:hAnsi="Times New Roman" w:eastAsia="仿宋_GB2312" w:cs="Times New Roman"/>
          <w:bCs/>
          <w:color w:val="000000"/>
          <w:kern w:val="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Mgh1g7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hint="default" w:ascii="Times New Roman" w:hAnsi="Times New Roman" w:eastAsia="仿宋_GB2312" w:cs="Times New Roman"/>
          <w:color w:val="000000"/>
          <w:kern w:val="0"/>
          <w:sz w:val="32"/>
          <w:szCs w:val="32"/>
        </w:rPr>
        <w:t>本文书一式</w:t>
      </w:r>
      <w:r>
        <w:rPr>
          <w:rFonts w:hint="default" w:ascii="Times New Roman" w:hAnsi="Times New Roman" w:eastAsia="仿宋_GB2312" w:cs="Times New Roman"/>
          <w:color w:val="000000"/>
          <w:kern w:val="0"/>
          <w:sz w:val="32"/>
          <w:szCs w:val="32"/>
          <w:u w:val="single"/>
        </w:rPr>
        <w:t xml:space="preserve"> 二 </w:t>
      </w:r>
      <w:r>
        <w:rPr>
          <w:rFonts w:hint="default" w:ascii="Times New Roman" w:hAnsi="Times New Roman" w:eastAsia="仿宋_GB2312" w:cs="Times New Roman"/>
          <w:color w:val="000000"/>
          <w:kern w:val="0"/>
          <w:sz w:val="32"/>
          <w:szCs w:val="32"/>
        </w:rPr>
        <w:t>份，</w:t>
      </w:r>
      <w:r>
        <w:rPr>
          <w:rFonts w:hint="default" w:ascii="Times New Roman" w:hAnsi="Times New Roman" w:eastAsia="仿宋_GB2312" w:cs="Times New Roman"/>
          <w:color w:val="000000"/>
          <w:kern w:val="0"/>
          <w:sz w:val="32"/>
          <w:szCs w:val="32"/>
          <w:u w:val="single"/>
        </w:rPr>
        <w:t>一</w:t>
      </w:r>
      <w:r>
        <w:rPr>
          <w:rFonts w:hint="default" w:ascii="Times New Roman" w:hAnsi="Times New Roman" w:eastAsia="仿宋_GB2312" w:cs="Times New Roman"/>
          <w:color w:val="000000"/>
          <w:kern w:val="0"/>
          <w:sz w:val="32"/>
          <w:szCs w:val="32"/>
        </w:rPr>
        <w:t>份送达，</w:t>
      </w:r>
      <w:r>
        <w:rPr>
          <w:rFonts w:hint="default" w:ascii="Times New Roman" w:hAnsi="Times New Roman" w:eastAsia="仿宋_GB2312" w:cs="Times New Roman"/>
          <w:color w:val="000000"/>
          <w:kern w:val="0"/>
          <w:sz w:val="32"/>
          <w:szCs w:val="32"/>
          <w:u w:val="single"/>
        </w:rPr>
        <w:t>一</w:t>
      </w:r>
      <w:r>
        <w:rPr>
          <w:rFonts w:hint="default" w:ascii="Times New Roman" w:hAnsi="Times New Roman" w:eastAsia="仿宋_GB2312" w:cs="Times New Roman"/>
          <w:color w:val="000000"/>
          <w:kern w:val="0"/>
          <w:sz w:val="32"/>
          <w:szCs w:val="32"/>
        </w:rPr>
        <w:t>份归档。</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69753A0-7D16-473D-BBA3-F4CCAB1AAC4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ngal">
    <w:altName w:val="DejaVu Math TeX Gyre"/>
    <w:panose1 w:val="02040503050203030202"/>
    <w:charset w:val="01"/>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3000509000000000000"/>
    <w:charset w:val="86"/>
    <w:family w:val="script"/>
    <w:pitch w:val="default"/>
    <w:sig w:usb0="00000001" w:usb1="080E0000" w:usb2="00000000" w:usb3="00000000" w:csb0="00040000" w:csb1="00000000"/>
    <w:embedRegular r:id="rId2" w:fontKey="{66F6A0DB-D086-4B08-84D1-851F6CEA335E}"/>
  </w:font>
  <w:font w:name="方正公文小标宋">
    <w:panose1 w:val="02000500000000000000"/>
    <w:charset w:val="86"/>
    <w:family w:val="auto"/>
    <w:pitch w:val="default"/>
    <w:sig w:usb0="A00002BF" w:usb1="38CF7CFA" w:usb2="00000016" w:usb3="00000000" w:csb0="00040001" w:csb1="00000000"/>
    <w:embedRegular r:id="rId3" w:fontKey="{BE8773DF-5F77-4785-8A35-6F55C316FE72}"/>
  </w:font>
  <w:font w:name="楷体">
    <w:panose1 w:val="02010609060101010101"/>
    <w:charset w:val="86"/>
    <w:family w:val="modern"/>
    <w:pitch w:val="default"/>
    <w:sig w:usb0="800002BF" w:usb1="38CF7CFA" w:usb2="00000016" w:usb3="00000000" w:csb0="00040001" w:csb1="00000000"/>
    <w:embedRegular r:id="rId4" w:fontKey="{C6C5B85A-8000-4E3D-9CE2-BB489DDFC819}"/>
  </w:font>
  <w:font w:name="仿宋_GB2312">
    <w:panose1 w:val="02010609030101010101"/>
    <w:charset w:val="86"/>
    <w:family w:val="auto"/>
    <w:pitch w:val="default"/>
    <w:sig w:usb0="00000001" w:usb1="080E0000" w:usb2="00000000" w:usb3="00000000" w:csb0="00040000" w:csb1="00000000"/>
    <w:embedRegular r:id="rId5" w:fontKey="{D0624835-2B01-4E98-9A31-52B341FDAF82}"/>
  </w:font>
  <w:font w:name="仿宋">
    <w:panose1 w:val="02010609060101010101"/>
    <w:charset w:val="86"/>
    <w:family w:val="auto"/>
    <w:pitch w:val="default"/>
    <w:sig w:usb0="800002BF" w:usb1="38CF7CFA" w:usb2="00000016" w:usb3="00000000" w:csb0="00040001" w:csb1="00000000"/>
    <w:embedRegular r:id="rId6" w:fontKey="{58F20DE5-281B-41E8-8032-214C93B951B4}"/>
  </w:font>
  <w:font w:name="华文仿宋">
    <w:panose1 w:val="02010600040101010101"/>
    <w:charset w:val="86"/>
    <w:family w:val="auto"/>
    <w:pitch w:val="default"/>
    <w:sig w:usb0="00000287" w:usb1="080F0000" w:usb2="00000000" w:usb3="00000000" w:csb0="0004009F" w:csb1="DFD70000"/>
    <w:embedRegular r:id="rId7" w:fontKey="{9574A6A7-0DE5-4583-AF72-6348F0DFC53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BD3A2">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493565">
                          <w:pPr>
                            <w:pStyle w:val="4"/>
                            <w:rPr>
                              <w:rFonts w:ascii="楷体" w:hAnsi="楷体" w:eastAsia="楷体" w:cs="楷体"/>
                              <w:sz w:val="24"/>
                              <w:szCs w:val="24"/>
                            </w:rPr>
                          </w:pPr>
                          <w:r>
                            <w:rPr>
                              <w:rFonts w:hint="eastAsia" w:ascii="楷体" w:hAnsi="楷体" w:eastAsia="楷体" w:cs="楷体"/>
                              <w:sz w:val="24"/>
                              <w:szCs w:val="24"/>
                            </w:rPr>
                            <w:t xml:space="preserve">第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  \* MERGEFORMAT </w:instrText>
                          </w:r>
                          <w:r>
                            <w:rPr>
                              <w:rFonts w:hint="eastAsia" w:ascii="楷体" w:hAnsi="楷体" w:eastAsia="楷体" w:cs="楷体"/>
                              <w:sz w:val="24"/>
                              <w:szCs w:val="24"/>
                            </w:rPr>
                            <w:fldChar w:fldCharType="separate"/>
                          </w:r>
                          <w:r>
                            <w:rPr>
                              <w:rFonts w:ascii="楷体" w:hAnsi="楷体" w:eastAsia="楷体" w:cs="楷体"/>
                              <w:sz w:val="24"/>
                              <w:szCs w:val="24"/>
                            </w:rPr>
                            <w:t>4</w:t>
                          </w:r>
                          <w:r>
                            <w:rPr>
                              <w:rFonts w:hint="eastAsia" w:ascii="楷体" w:hAnsi="楷体" w:eastAsia="楷体" w:cs="楷体"/>
                              <w:sz w:val="24"/>
                              <w:szCs w:val="24"/>
                            </w:rPr>
                            <w:fldChar w:fldCharType="end"/>
                          </w:r>
                          <w:r>
                            <w:rPr>
                              <w:rFonts w:hint="eastAsia" w:ascii="楷体" w:hAnsi="楷体" w:eastAsia="楷体" w:cs="楷体"/>
                              <w:sz w:val="24"/>
                              <w:szCs w:val="24"/>
                            </w:rPr>
                            <w:t xml:space="preserve"> 页 共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NUMPAGES  \* MERGEFORMAT </w:instrText>
                          </w:r>
                          <w:r>
                            <w:rPr>
                              <w:rFonts w:hint="eastAsia" w:ascii="楷体" w:hAnsi="楷体" w:eastAsia="楷体" w:cs="楷体"/>
                              <w:sz w:val="24"/>
                              <w:szCs w:val="24"/>
                            </w:rPr>
                            <w:fldChar w:fldCharType="separate"/>
                          </w:r>
                          <w:r>
                            <w:rPr>
                              <w:rFonts w:ascii="楷体" w:hAnsi="楷体" w:eastAsia="楷体" w:cs="楷体"/>
                              <w:sz w:val="24"/>
                              <w:szCs w:val="24"/>
                            </w:rPr>
                            <w:t>5</w:t>
                          </w:r>
                          <w:r>
                            <w:rPr>
                              <w:rFonts w:hint="eastAsia" w:ascii="楷体" w:hAnsi="楷体" w:eastAsia="楷体" w:cs="楷体"/>
                              <w:sz w:val="24"/>
                              <w:szCs w:val="24"/>
                            </w:rPr>
                            <w:fldChar w:fldCharType="end"/>
                          </w:r>
                          <w:r>
                            <w:rPr>
                              <w:rFonts w:hint="eastAsia" w:ascii="楷体" w:hAnsi="楷体" w:eastAsia="楷体" w:cs="楷体"/>
                              <w:sz w:val="24"/>
                              <w:szCs w:val="24"/>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9493565">
                    <w:pPr>
                      <w:pStyle w:val="4"/>
                      <w:rPr>
                        <w:rFonts w:ascii="楷体" w:hAnsi="楷体" w:eastAsia="楷体" w:cs="楷体"/>
                        <w:sz w:val="24"/>
                        <w:szCs w:val="24"/>
                      </w:rPr>
                    </w:pPr>
                    <w:r>
                      <w:rPr>
                        <w:rFonts w:hint="eastAsia" w:ascii="楷体" w:hAnsi="楷体" w:eastAsia="楷体" w:cs="楷体"/>
                        <w:sz w:val="24"/>
                        <w:szCs w:val="24"/>
                      </w:rPr>
                      <w:t xml:space="preserve">第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  \* MERGEFORMAT </w:instrText>
                    </w:r>
                    <w:r>
                      <w:rPr>
                        <w:rFonts w:hint="eastAsia" w:ascii="楷体" w:hAnsi="楷体" w:eastAsia="楷体" w:cs="楷体"/>
                        <w:sz w:val="24"/>
                        <w:szCs w:val="24"/>
                      </w:rPr>
                      <w:fldChar w:fldCharType="separate"/>
                    </w:r>
                    <w:r>
                      <w:rPr>
                        <w:rFonts w:ascii="楷体" w:hAnsi="楷体" w:eastAsia="楷体" w:cs="楷体"/>
                        <w:sz w:val="24"/>
                        <w:szCs w:val="24"/>
                      </w:rPr>
                      <w:t>4</w:t>
                    </w:r>
                    <w:r>
                      <w:rPr>
                        <w:rFonts w:hint="eastAsia" w:ascii="楷体" w:hAnsi="楷体" w:eastAsia="楷体" w:cs="楷体"/>
                        <w:sz w:val="24"/>
                        <w:szCs w:val="24"/>
                      </w:rPr>
                      <w:fldChar w:fldCharType="end"/>
                    </w:r>
                    <w:r>
                      <w:rPr>
                        <w:rFonts w:hint="eastAsia" w:ascii="楷体" w:hAnsi="楷体" w:eastAsia="楷体" w:cs="楷体"/>
                        <w:sz w:val="24"/>
                        <w:szCs w:val="24"/>
                      </w:rPr>
                      <w:t xml:space="preserve"> 页 共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NUMPAGES  \* MERGEFORMAT </w:instrText>
                    </w:r>
                    <w:r>
                      <w:rPr>
                        <w:rFonts w:hint="eastAsia" w:ascii="楷体" w:hAnsi="楷体" w:eastAsia="楷体" w:cs="楷体"/>
                        <w:sz w:val="24"/>
                        <w:szCs w:val="24"/>
                      </w:rPr>
                      <w:fldChar w:fldCharType="separate"/>
                    </w:r>
                    <w:r>
                      <w:rPr>
                        <w:rFonts w:ascii="楷体" w:hAnsi="楷体" w:eastAsia="楷体" w:cs="楷体"/>
                        <w:sz w:val="24"/>
                        <w:szCs w:val="24"/>
                      </w:rPr>
                      <w:t>5</w:t>
                    </w:r>
                    <w:r>
                      <w:rPr>
                        <w:rFonts w:hint="eastAsia" w:ascii="楷体" w:hAnsi="楷体" w:eastAsia="楷体" w:cs="楷体"/>
                        <w:sz w:val="24"/>
                        <w:szCs w:val="24"/>
                      </w:rPr>
                      <w:fldChar w:fldCharType="end"/>
                    </w:r>
                    <w:r>
                      <w:rPr>
                        <w:rFonts w:hint="eastAsia" w:ascii="楷体" w:hAnsi="楷体" w:eastAsia="楷体" w:cs="楷体"/>
                        <w:sz w:val="24"/>
                        <w:szCs w:val="24"/>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2E5AF2"/>
    <w:multiLevelType w:val="multilevel"/>
    <w:tmpl w:val="052E5AF2"/>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kzNzI1NDdjNTYzNzdhYjYwNTg3Zjk2YzQ1ZTMzZGMifQ=="/>
  </w:docVars>
  <w:rsids>
    <w:rsidRoot w:val="0002063B"/>
    <w:rsid w:val="0002063B"/>
    <w:rsid w:val="00097132"/>
    <w:rsid w:val="000B736D"/>
    <w:rsid w:val="001C7F82"/>
    <w:rsid w:val="00264DC4"/>
    <w:rsid w:val="004018FE"/>
    <w:rsid w:val="00451A1C"/>
    <w:rsid w:val="0051340F"/>
    <w:rsid w:val="00514BBF"/>
    <w:rsid w:val="005A545E"/>
    <w:rsid w:val="005D23BD"/>
    <w:rsid w:val="005F33B0"/>
    <w:rsid w:val="00614906"/>
    <w:rsid w:val="006313F9"/>
    <w:rsid w:val="00652143"/>
    <w:rsid w:val="0071511F"/>
    <w:rsid w:val="00754926"/>
    <w:rsid w:val="00790DEA"/>
    <w:rsid w:val="007D22F2"/>
    <w:rsid w:val="007F0305"/>
    <w:rsid w:val="008B2664"/>
    <w:rsid w:val="008E6D45"/>
    <w:rsid w:val="0092727E"/>
    <w:rsid w:val="00971BBF"/>
    <w:rsid w:val="009A551C"/>
    <w:rsid w:val="009B1D01"/>
    <w:rsid w:val="00A04786"/>
    <w:rsid w:val="00A309FE"/>
    <w:rsid w:val="00AD06FB"/>
    <w:rsid w:val="00C01643"/>
    <w:rsid w:val="00C2787F"/>
    <w:rsid w:val="00C33120"/>
    <w:rsid w:val="00C87535"/>
    <w:rsid w:val="00EB6CC0"/>
    <w:rsid w:val="00FA71EB"/>
    <w:rsid w:val="05524952"/>
    <w:rsid w:val="0E594F58"/>
    <w:rsid w:val="16077093"/>
    <w:rsid w:val="2D8C30C0"/>
    <w:rsid w:val="2F7F31B8"/>
    <w:rsid w:val="3718498F"/>
    <w:rsid w:val="38C210B2"/>
    <w:rsid w:val="39393B75"/>
    <w:rsid w:val="3EAC7C8A"/>
    <w:rsid w:val="3EED471C"/>
    <w:rsid w:val="3F585205"/>
    <w:rsid w:val="4387569F"/>
    <w:rsid w:val="4BAF5BE4"/>
    <w:rsid w:val="4EBF78E5"/>
    <w:rsid w:val="50BA4CC0"/>
    <w:rsid w:val="597D780F"/>
    <w:rsid w:val="5CAF070E"/>
    <w:rsid w:val="5FF3D84E"/>
    <w:rsid w:val="64454CD9"/>
    <w:rsid w:val="6BFFAF98"/>
    <w:rsid w:val="6DF4F3FD"/>
    <w:rsid w:val="6E837EF4"/>
    <w:rsid w:val="71221260"/>
    <w:rsid w:val="76B37ACA"/>
    <w:rsid w:val="7E3BB5BB"/>
    <w:rsid w:val="7EFB4C15"/>
    <w:rsid w:val="B7EDFFE5"/>
    <w:rsid w:val="EB1DB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2"/>
    <w:qFormat/>
    <w:uiPriority w:val="0"/>
    <w:pPr>
      <w:ind w:left="220"/>
      <w:jc w:val="left"/>
    </w:pPr>
    <w:rPr>
      <w:rFonts w:ascii="宋体" w:hAnsi="宋体"/>
      <w:kern w:val="0"/>
      <w:sz w:val="32"/>
      <w:szCs w:val="32"/>
      <w:lang w:eastAsia="en-US"/>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标题 1 字符"/>
    <w:basedOn w:val="8"/>
    <w:link w:val="2"/>
    <w:qFormat/>
    <w:uiPriority w:val="0"/>
    <w:rPr>
      <w:rFonts w:ascii="Times New Roman" w:hAnsi="Times New Roman" w:eastAsia="宋体" w:cs="Mangal"/>
      <w:color w:val="00000A"/>
      <w:sz w:val="24"/>
      <w:szCs w:val="24"/>
      <w:lang w:val="zh-CN" w:bidi="hi-IN"/>
    </w:rPr>
  </w:style>
  <w:style w:type="character" w:customStyle="1" w:styleId="12">
    <w:name w:val="正文文本 字符"/>
    <w:basedOn w:val="8"/>
    <w:link w:val="3"/>
    <w:qFormat/>
    <w:uiPriority w:val="0"/>
    <w:rPr>
      <w:rFonts w:ascii="宋体" w:hAnsi="宋体" w:eastAsia="宋体" w:cs="Times New Roman"/>
      <w:kern w:val="0"/>
      <w:sz w:val="32"/>
      <w:szCs w:val="32"/>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Pages>
  <Words>478</Words>
  <Characters>564</Characters>
  <Lines>22</Lines>
  <Paragraphs>6</Paragraphs>
  <TotalTime>16</TotalTime>
  <ScaleCrop>false</ScaleCrop>
  <LinksUpToDate>false</LinksUpToDate>
  <CharactersWithSpaces>566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2022-12-27T16:41:00Z</dcterms:created>
  <dc:creator>wang lichao</dc:creator>
  <cp:lastModifiedBy>王力超</cp:lastModifiedBy>
  <cp:lastPrinted>2022-12-30T01:09:00Z</cp:lastPrinted>
  <dcterms:modified xsi:type="dcterms:W3CDTF">2026-10-23T02:37:23Z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B3191A28CE0892D3130B0565A501DCF5</vt:lpwstr>
  </property>
  <property fmtid="{D5CDD505-2E9C-101B-9397-08002B2CF9AE}" pid="4" name="KSOTemplateDocerSaveRecord">
    <vt:lpwstr>eyJoZGlkIjoiNjZhZGQ1YTgwYzFlNWQ5NmYyYTM0ZjQxZjI2MzRkMzIiLCJ1c2VySWQiOiIxNDU0Mjk3MjI4In0=</vt:lpwstr>
  </property>
</Properties>
</file>