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Lines w:val="0"/>
        <w:pageBreakBefore w:val="0"/>
        <w:tabs>
          <w:tab w:val="left" w:pos="1259"/>
        </w:tabs>
        <w:kinsoku/>
        <w:wordWrap/>
        <w:overflowPunct/>
        <w:topLinePunct w:val="0"/>
        <w:autoSpaceDE/>
        <w:autoSpaceDN/>
        <w:bidi w:val="0"/>
        <w:spacing w:line="576" w:lineRule="exact"/>
        <w:jc w:val="center"/>
        <w:textAlignment w:val="auto"/>
        <w:rPr>
          <w:rFonts w:ascii="方正小标宋简体" w:hAnsi="宋体" w:eastAsia="方正小标宋简体" w:cs="黑体"/>
          <w:color w:val="000000"/>
          <w:sz w:val="18"/>
          <w:szCs w:val="18"/>
        </w:rPr>
      </w:pPr>
      <w:r>
        <w:rPr>
          <w:rFonts w:hint="eastAsia" w:ascii="方正小标宋简体" w:hAnsi="宋体" w:eastAsia="方正小标宋简体" w:cs="黑体"/>
          <w:color w:val="231F20"/>
          <w:sz w:val="44"/>
          <w:szCs w:val="44"/>
        </w:rPr>
        <w:t>福建省药品监督管理局</w:t>
      </w:r>
      <w:r>
        <w:rPr>
          <w:rFonts w:hint="eastAsia" w:ascii="方正小标宋简体" w:hAnsi="宋体" w:eastAsia="方正小标宋简体" w:cs="黑体"/>
          <w:color w:val="000000"/>
          <w:sz w:val="44"/>
          <w:szCs w:val="44"/>
        </w:rPr>
        <w:t>行政处罚决定书</w:t>
      </w:r>
    </w:p>
    <w:p>
      <w:pPr>
        <w:pStyle w:val="3"/>
        <w:keepLines w:val="0"/>
        <w:pageBreakBefore w:val="0"/>
        <w:tabs>
          <w:tab w:val="left" w:pos="8964"/>
        </w:tabs>
        <w:kinsoku/>
        <w:wordWrap/>
        <w:overflowPunct/>
        <w:topLinePunct w:val="0"/>
        <w:autoSpaceDE/>
        <w:autoSpaceDN/>
        <w:bidi w:val="0"/>
        <w:spacing w:line="576" w:lineRule="exact"/>
        <w:ind w:left="0" w:firstLine="640" w:firstLineChars="200"/>
        <w:jc w:val="right"/>
        <w:textAlignment w:val="auto"/>
        <w:rPr>
          <w:rFonts w:hint="eastAsia" w:ascii="楷体" w:hAnsi="楷体" w:eastAsia="楷体" w:cs="楷体"/>
          <w:i w:val="0"/>
          <w:iCs w:val="0"/>
          <w:color w:val="000000" w:themeColor="text1"/>
          <w:kern w:val="0"/>
          <w:sz w:val="32"/>
          <w:szCs w:val="32"/>
          <w:u w:val="none"/>
          <w:lang w:val="en-US" w:eastAsia="zh-CN" w:bidi="ar"/>
          <w14:textFill>
            <w14:solidFill>
              <w14:schemeClr w14:val="tx1"/>
            </w14:solidFill>
          </w14:textFill>
        </w:rPr>
      </w:pPr>
      <w:bookmarkStart w:id="1" w:name="_GoBack"/>
      <w:r>
        <w:rPr>
          <w:rFonts w:hint="eastAsia" w:ascii="楷体" w:hAnsi="楷体" w:eastAsia="楷体" w:cs="楷体"/>
          <w:i w:val="0"/>
          <w:iCs w:val="0"/>
          <w:color w:val="000000" w:themeColor="text1"/>
          <w:kern w:val="0"/>
          <w:sz w:val="32"/>
          <w:szCs w:val="32"/>
          <w:u w:val="none"/>
          <w:lang w:val="en-US" w:eastAsia="zh-CN" w:bidi="ar"/>
          <w14:textFill>
            <w14:solidFill>
              <w14:schemeClr w14:val="tx1"/>
            </w14:solidFill>
          </w14:textFill>
        </w:rPr>
        <w:t>闽药监厦稽办处罚〔2026〕010号</w:t>
      </w:r>
    </w:p>
    <w:bookmarkEnd w:id="1"/>
    <w:p>
      <w:pPr>
        <w:keepNext w:val="0"/>
        <w:keepLines w:val="0"/>
        <w:pageBreakBefore w:val="0"/>
        <w:widowControl w:val="0"/>
        <w:kinsoku/>
        <w:wordWrap/>
        <w:overflowPunct/>
        <w:topLinePunct w:val="0"/>
        <w:autoSpaceDE/>
        <w:autoSpaceDN/>
        <w:bidi w:val="0"/>
        <w:adjustRightInd w:val="0"/>
        <w:snapToGrid w:val="0"/>
        <w:spacing w:before="157" w:beforeLines="50" w:line="540" w:lineRule="exact"/>
        <w:ind w:left="142" w:hanging="142"/>
        <w:textAlignment w:val="auto"/>
        <w:rPr>
          <w:rFonts w:hint="eastAsia" w:ascii="仿宋_GB2312" w:hAnsi="仿宋_GB2312" w:eastAsia="仿宋_GB2312" w:cs="仿宋_GB2312"/>
          <w:kern w:val="1"/>
          <w:sz w:val="32"/>
          <w:szCs w:val="32"/>
          <w:lang w:eastAsia="zh-CN"/>
        </w:rPr>
      </w:pPr>
      <w:r>
        <w:rPr>
          <w:rFonts w:hint="eastAsia" w:ascii="仿宋_GB2312" w:hAnsi="仿宋_GB2312" w:eastAsia="仿宋_GB2312" w:cs="仿宋_GB2312"/>
          <w:kern w:val="1"/>
          <w:sz w:val="32"/>
          <w:szCs w:val="32"/>
        </w:rPr>
        <w:t>当事人：</w:t>
      </w:r>
      <w:r>
        <w:rPr>
          <w:rFonts w:hint="eastAsia" w:ascii="仿宋_GB2312" w:hAnsi="仿宋_GB2312" w:eastAsia="仿宋_GB2312" w:cs="仿宋_GB2312"/>
          <w:sz w:val="32"/>
          <w:szCs w:val="32"/>
        </w:rPr>
        <w:t>福建省安博臣医疗科技有限公司</w:t>
      </w:r>
      <w:r>
        <w:rPr>
          <w:rFonts w:hint="eastAsia" w:ascii="仿宋_GB2312" w:hAnsi="仿宋_GB2312" w:eastAsia="仿宋_GB2312" w:cs="仿宋_GB2312"/>
          <w:b w:val="0"/>
          <w:bCs w:val="0"/>
          <w:kern w:val="1"/>
          <w:sz w:val="32"/>
          <w:szCs w:val="32"/>
          <w:u w:val="none"/>
          <w:lang w:val="en-US" w:eastAsia="zh-CN"/>
        </w:rPr>
        <w:t>（以下简称福建安博臣</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val="0"/>
        <w:snapToGrid w:val="0"/>
        <w:spacing w:line="540" w:lineRule="exact"/>
        <w:ind w:left="142" w:hanging="142"/>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1"/>
          <w:sz w:val="32"/>
          <w:szCs w:val="32"/>
        </w:rPr>
        <w:t>主体资格证照名称：《营业执照》</w:t>
      </w:r>
    </w:p>
    <w:p>
      <w:pPr>
        <w:keepNext w:val="0"/>
        <w:keepLines w:val="0"/>
        <w:pageBreakBefore w:val="0"/>
        <w:kinsoku/>
        <w:wordWrap/>
        <w:overflowPunct/>
        <w:topLinePunct w:val="0"/>
        <w:autoSpaceDE/>
        <w:autoSpaceDN/>
        <w:bidi w:val="0"/>
        <w:adjustRightInd w:val="0"/>
        <w:snapToGrid w:val="0"/>
        <w:spacing w:line="540" w:lineRule="exact"/>
        <w:ind w:left="142" w:hanging="142"/>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统一社会信用代码：</w:t>
      </w:r>
      <w:r>
        <w:rPr>
          <w:rFonts w:hint="eastAsia" w:ascii="仿宋_GB2312" w:hAnsi="仿宋_GB2312" w:eastAsia="仿宋_GB2312" w:cs="仿宋_GB2312"/>
          <w:sz w:val="32"/>
          <w:szCs w:val="32"/>
          <w:lang w:eastAsia="zh-CN"/>
        </w:rPr>
        <w:t>91350503MAC53H4H06</w:t>
      </w:r>
    </w:p>
    <w:p>
      <w:pPr>
        <w:keepNext w:val="0"/>
        <w:keepLines w:val="0"/>
        <w:pageBreakBefore w:val="0"/>
        <w:kinsoku/>
        <w:wordWrap/>
        <w:overflowPunct/>
        <w:topLinePunct w:val="0"/>
        <w:autoSpaceDE/>
        <w:autoSpaceDN/>
        <w:bidi w:val="0"/>
        <w:adjustRightInd w:val="0"/>
        <w:snapToGrid w:val="0"/>
        <w:spacing w:line="540" w:lineRule="exact"/>
        <w:ind w:left="142" w:hanging="142"/>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住所:福建省泉州市丰泽区西辅路795号办公楼1楼101-102</w:t>
      </w:r>
    </w:p>
    <w:p>
      <w:pPr>
        <w:keepNext w:val="0"/>
        <w:keepLines w:val="0"/>
        <w:pageBreakBefore w:val="0"/>
        <w:kinsoku/>
        <w:wordWrap/>
        <w:overflowPunct/>
        <w:topLinePunct w:val="0"/>
        <w:autoSpaceDE/>
        <w:autoSpaceDN/>
        <w:bidi w:val="0"/>
        <w:adjustRightInd w:val="0"/>
        <w:snapToGrid w:val="0"/>
        <w:spacing w:line="540" w:lineRule="exact"/>
        <w:ind w:left="142" w:hanging="142"/>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法定代表人：</w:t>
      </w:r>
      <w:r>
        <w:rPr>
          <w:rFonts w:hint="eastAsia" w:ascii="仿宋_GB2312" w:hAnsi="仿宋_GB2312" w:eastAsia="仿宋_GB2312" w:cs="仿宋_GB2312"/>
          <w:color w:val="000000"/>
          <w:sz w:val="32"/>
          <w:szCs w:val="32"/>
          <w:lang w:val="en-US" w:eastAsia="zh-CN"/>
        </w:rPr>
        <w:t>巫xx</w:t>
      </w:r>
    </w:p>
    <w:p>
      <w:pPr>
        <w:keepNext w:val="0"/>
        <w:keepLines w:val="0"/>
        <w:pageBreakBefore w:val="0"/>
        <w:kinsoku/>
        <w:wordWrap/>
        <w:overflowPunct/>
        <w:topLinePunct w:val="0"/>
        <w:autoSpaceDE/>
        <w:autoSpaceDN/>
        <w:bidi w:val="0"/>
        <w:adjustRightInd w:val="0"/>
        <w:snapToGrid w:val="0"/>
        <w:spacing w:line="540" w:lineRule="exact"/>
        <w:ind w:left="142" w:hanging="142"/>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身份证号码：</w:t>
      </w:r>
      <w:r>
        <w:rPr>
          <w:rFonts w:hint="eastAsia" w:ascii="仿宋_GB2312" w:hAnsi="仿宋_GB2312" w:eastAsia="仿宋_GB2312" w:cs="仿宋_GB2312"/>
          <w:kern w:val="0"/>
          <w:sz w:val="32"/>
          <w:szCs w:val="32"/>
          <w:lang w:val="en-US" w:eastAsia="zh-CN"/>
        </w:rPr>
        <w:t>44xxxxxxxxxxxxxx83</w:t>
      </w:r>
    </w:p>
    <w:p>
      <w:pPr>
        <w:keepNext w:val="0"/>
        <w:keepLines w:val="0"/>
        <w:pageBreakBefore w:val="0"/>
        <w:kinsoku/>
        <w:wordWrap/>
        <w:overflowPunct/>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根据山东省医疗器械和药品包装检验研究院《检验报告》（编号：Y20260609026，</w:t>
      </w:r>
      <w:r>
        <w:rPr>
          <w:rFonts w:hint="eastAsia" w:ascii="仿宋_GB2312" w:hAnsi="仿宋_GB2312" w:eastAsia="仿宋_GB2312" w:cs="仿宋_GB2312"/>
          <w:sz w:val="32"/>
          <w:szCs w:val="32"/>
        </w:rPr>
        <w:t>检验类别：</w:t>
      </w:r>
      <w:r>
        <w:rPr>
          <w:rFonts w:hint="eastAsia" w:ascii="仿宋_GB2312" w:hAnsi="仿宋_GB2312" w:eastAsia="仿宋_GB2312" w:cs="仿宋_GB2312"/>
          <w:sz w:val="32"/>
          <w:szCs w:val="32"/>
          <w:lang w:val="en-US" w:eastAsia="zh-CN"/>
        </w:rPr>
        <w:t>国家</w:t>
      </w:r>
      <w:r>
        <w:rPr>
          <w:rFonts w:hint="eastAsia" w:ascii="仿宋_GB2312" w:hAnsi="仿宋_GB2312" w:eastAsia="仿宋_GB2312" w:cs="仿宋_GB2312"/>
          <w:sz w:val="32"/>
          <w:szCs w:val="32"/>
        </w:rPr>
        <w:t>监督</w:t>
      </w:r>
      <w:r>
        <w:rPr>
          <w:rFonts w:hint="eastAsia" w:ascii="仿宋_GB2312" w:hAnsi="仿宋_GB2312" w:eastAsia="仿宋_GB2312" w:cs="仿宋_GB2312"/>
          <w:sz w:val="32"/>
          <w:szCs w:val="32"/>
          <w:lang w:val="en-US" w:eastAsia="zh-CN"/>
        </w:rPr>
        <w:t>抽查检验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当事人</w:t>
      </w:r>
      <w:r>
        <w:rPr>
          <w:rFonts w:hint="eastAsia" w:ascii="仿宋_GB2312" w:hAnsi="仿宋_GB2312" w:eastAsia="仿宋_GB2312" w:cs="仿宋_GB2312"/>
          <w:sz w:val="32"/>
          <w:szCs w:val="32"/>
          <w:lang w:eastAsia="zh-CN"/>
        </w:rPr>
        <w:t>委托惠州安博臣科技有限公司（以下简称惠州安博臣）生产的医用透明质酸钠创面敷贴（批号为20260424、规格型号：A型28g/袋）</w:t>
      </w:r>
      <w:r>
        <w:rPr>
          <w:rFonts w:hint="eastAsia" w:ascii="仿宋_GB2312" w:hAnsi="仿宋_GB2312" w:eastAsia="仿宋_GB2312" w:cs="仿宋_GB2312"/>
          <w:sz w:val="32"/>
          <w:szCs w:val="32"/>
          <w:lang w:val="en-US" w:eastAsia="zh-CN"/>
        </w:rPr>
        <w:t>经检验不合格</w:t>
      </w:r>
      <w:r>
        <w:rPr>
          <w:rFonts w:hint="eastAsia" w:ascii="仿宋_GB2312" w:hAnsi="仿宋_GB2312" w:eastAsia="仿宋_GB2312" w:cs="仿宋_GB2312"/>
          <w:sz w:val="32"/>
          <w:szCs w:val="32"/>
          <w:lang w:eastAsia="zh-CN"/>
        </w:rPr>
        <w:t>，具体不合格项目为“黏度”。</w:t>
      </w:r>
      <w:r>
        <w:rPr>
          <w:rFonts w:hint="eastAsia" w:ascii="仿宋_GB2312" w:hAnsi="仿宋_GB2312" w:eastAsia="仿宋_GB2312" w:cs="仿宋_GB2312"/>
          <w:sz w:val="32"/>
          <w:szCs w:val="32"/>
          <w:lang w:val="en-US" w:eastAsia="zh-CN"/>
        </w:rPr>
        <w:t>我局于2026年7月20日送达了上述</w:t>
      </w:r>
      <w:r>
        <w:rPr>
          <w:rFonts w:hint="eastAsia" w:ascii="仿宋_GB2312" w:hAnsi="仿宋_GB2312" w:eastAsia="仿宋_GB2312" w:cs="仿宋_GB2312"/>
          <w:sz w:val="32"/>
          <w:szCs w:val="32"/>
          <w:lang w:eastAsia="zh-CN"/>
        </w:rPr>
        <w:t>《检验报告》。当事人未在法定期限内提出复检申请。7月30日，我局予以立案调查。</w:t>
      </w:r>
      <w:r>
        <w:rPr>
          <w:rFonts w:hint="eastAsia" w:ascii="仿宋_GB2312" w:hAnsi="仿宋_GB2312" w:eastAsia="仿宋_GB2312" w:cs="仿宋_GB2312"/>
          <w:sz w:val="32"/>
          <w:szCs w:val="32"/>
          <w:lang w:val="en-US" w:eastAsia="zh-CN"/>
        </w:rPr>
        <w:t>案件办理期间我局对当事人开展了现场检查，询问调查相关人员等工作。</w:t>
      </w:r>
    </w:p>
    <w:p>
      <w:pPr>
        <w:keepNext w:val="0"/>
        <w:keepLines w:val="0"/>
        <w:pageBreakBefore w:val="0"/>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00000A"/>
          <w:sz w:val="32"/>
          <w:szCs w:val="32"/>
          <w:lang w:eastAsia="zh-CN"/>
        </w:rPr>
        <w:t>在调查取证过程中，</w:t>
      </w:r>
      <w:r>
        <w:rPr>
          <w:rFonts w:hint="eastAsia" w:ascii="仿宋_GB2312" w:hAnsi="仿宋_GB2312" w:eastAsia="仿宋_GB2312" w:cs="仿宋_GB2312"/>
          <w:color w:val="00000A"/>
          <w:sz w:val="32"/>
          <w:szCs w:val="32"/>
          <w:lang w:val="en-US" w:eastAsia="zh-CN"/>
        </w:rPr>
        <w:t>因</w:t>
      </w:r>
      <w:r>
        <w:rPr>
          <w:rFonts w:hint="eastAsia" w:ascii="仿宋_GB2312" w:hAnsi="仿宋_GB2312" w:eastAsia="仿宋_GB2312" w:cs="仿宋_GB2312"/>
          <w:color w:val="00000A"/>
          <w:sz w:val="32"/>
          <w:szCs w:val="32"/>
          <w:lang w:eastAsia="zh-CN"/>
        </w:rPr>
        <w:t>涉案产品</w:t>
      </w:r>
      <w:r>
        <w:rPr>
          <w:rFonts w:hint="eastAsia" w:ascii="仿宋_GB2312" w:hAnsi="仿宋_GB2312" w:eastAsia="仿宋_GB2312" w:cs="仿宋_GB2312"/>
          <w:color w:val="00000A"/>
          <w:sz w:val="32"/>
          <w:szCs w:val="32"/>
          <w:lang w:val="en-US" w:eastAsia="zh-CN"/>
        </w:rPr>
        <w:t>用于国家监督抽查检验、展会展示后销毁和留样等，未有召回产品，剩余库存的95袋由于受托方惠州安博臣对相关法规要求理解不到位，错误地认为隔离存放后即需进行销毁处理，于2026年7月23日对剩余95袋产品自行进行了销毁，故我局未实施行政强制措施。</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Times New Roman" w:hAnsi="Times New Roman" w:eastAsia="仿宋_GB2312" w:cs="Times New Roman"/>
          <w:spacing w:val="-6"/>
          <w:kern w:val="2"/>
          <w:sz w:val="32"/>
          <w:szCs w:val="32"/>
          <w:vertAlign w:val="baseline"/>
          <w:lang w:val="en-US" w:eastAsia="zh-CN" w:bidi="ar-SA"/>
        </w:rPr>
      </w:pPr>
      <w:r>
        <w:rPr>
          <w:rFonts w:hint="eastAsia" w:ascii="仿宋_GB2312" w:hAnsi="仿宋_GB2312" w:eastAsia="仿宋_GB2312" w:cs="仿宋_GB2312"/>
          <w:sz w:val="32"/>
          <w:szCs w:val="32"/>
          <w:lang w:eastAsia="zh-CN"/>
        </w:rPr>
        <w:t>经查，当事人2026年4</w:t>
      </w:r>
      <w:r>
        <w:rPr>
          <w:rFonts w:hint="eastAsia"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lang w:eastAsia="zh-CN"/>
        </w:rPr>
        <w:t>22日下达生产派工单；受托方惠州安博臣于4</w:t>
      </w:r>
      <w:r>
        <w:rPr>
          <w:rFonts w:hint="eastAsia"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lang w:eastAsia="zh-CN"/>
        </w:rPr>
        <w:t>24日</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5月11日生产涉案批次医用透明质酸钠创面敷贴共215袋，检验合格后于5月11日完成生产放行。同日，当事人完成上市放行，可销售成品215袋。</w:t>
      </w:r>
      <w:r>
        <w:rPr>
          <w:rFonts w:hint="eastAsia" w:ascii="仿宋_GB2312" w:hAnsi="仿宋_GB2312" w:eastAsia="仿宋_GB2312" w:cs="仿宋_GB2312"/>
          <w:sz w:val="32"/>
          <w:szCs w:val="32"/>
          <w:lang w:val="en-US" w:eastAsia="zh-CN"/>
        </w:rPr>
        <w:t>5月12日，当事人领用85袋用于展会推广使用；6月4日，福建省食品药</w:t>
      </w:r>
      <w:r>
        <w:rPr>
          <w:rFonts w:hint="eastAsia" w:ascii="Times New Roman" w:hAnsi="Times New Roman" w:eastAsia="仿宋_GB2312" w:cs="Times New Roman"/>
          <w:spacing w:val="-6"/>
          <w:kern w:val="2"/>
          <w:sz w:val="32"/>
          <w:szCs w:val="32"/>
          <w:vertAlign w:val="baseline"/>
          <w:lang w:val="en-US" w:eastAsia="zh-CN" w:bidi="ar-SA"/>
        </w:rPr>
        <w:t>品质量检验研究院在惠州安博臣成品库抽取了35袋涉案批次产品用于国家监督抽样；7月23日，惠州安博臣品质部对库存的95袋不合格产品自行进行销毁，涉案产品未曾销售，无违法所得。根据当事人提供的《医用透明质酸钠创面敷贴销售价格体系》，涉案产品参照该价格体系最低售价17元/盒（5袋/盒）核算，即折合3.4元/袋，故涉案批次医用透明质酸钠创面敷贴货值金额为731元。</w:t>
      </w:r>
    </w:p>
    <w:p>
      <w:pPr>
        <w:keepNext w:val="0"/>
        <w:keepLines w:val="0"/>
        <w:pageBreakBefore w:val="0"/>
        <w:widowControl w:val="0"/>
        <w:kinsoku/>
        <w:wordWrap/>
        <w:overflowPunct/>
        <w:topLinePunct w:val="0"/>
        <w:autoSpaceDE/>
        <w:autoSpaceDN/>
        <w:bidi w:val="0"/>
        <w:spacing w:line="540" w:lineRule="exact"/>
        <w:ind w:firstLine="640" w:firstLineChars="200"/>
        <w:textAlignment w:val="auto"/>
        <w:rPr>
          <w:rFonts w:hint="eastAsia" w:ascii="仿宋_GB2312" w:hAnsi="仿宋_GB2312" w:eastAsia="仿宋_GB2312" w:cs="仿宋_GB2312"/>
          <w:b w:val="0"/>
          <w:bCs w:val="0"/>
          <w:color w:val="auto"/>
          <w:kern w:val="1"/>
          <w:sz w:val="32"/>
          <w:szCs w:val="32"/>
          <w:u w:val="none"/>
          <w:lang w:val="en-US" w:eastAsia="zh-CN"/>
        </w:rPr>
      </w:pPr>
      <w:r>
        <w:rPr>
          <w:rFonts w:hint="eastAsia" w:ascii="仿宋_GB2312" w:hAnsi="仿宋_GB2312" w:eastAsia="仿宋_GB2312" w:cs="仿宋_GB2312"/>
          <w:b w:val="0"/>
          <w:bCs w:val="0"/>
          <w:color w:val="auto"/>
          <w:kern w:val="1"/>
          <w:sz w:val="32"/>
          <w:szCs w:val="32"/>
          <w:u w:val="none"/>
          <w:lang w:val="en-US" w:eastAsia="zh-CN"/>
        </w:rPr>
        <w:t>我局根据上述《检验报告》，结合对</w:t>
      </w:r>
      <w:r>
        <w:rPr>
          <w:rFonts w:hint="eastAsia" w:ascii="仿宋_GB2312" w:hAnsi="仿宋_GB2312" w:eastAsia="仿宋_GB2312" w:cs="仿宋_GB2312"/>
          <w:sz w:val="32"/>
          <w:szCs w:val="32"/>
          <w:lang w:val="en-US" w:eastAsia="zh-CN"/>
        </w:rPr>
        <w:t>福建</w:t>
      </w:r>
      <w:r>
        <w:rPr>
          <w:rFonts w:hint="eastAsia" w:ascii="仿宋_GB2312" w:hAnsi="仿宋_GB2312" w:eastAsia="仿宋_GB2312" w:cs="仿宋_GB2312"/>
          <w:sz w:val="32"/>
          <w:szCs w:val="32"/>
          <w:lang w:eastAsia="zh-CN"/>
        </w:rPr>
        <w:t>安博臣</w:t>
      </w:r>
      <w:r>
        <w:rPr>
          <w:rFonts w:hint="eastAsia" w:ascii="仿宋_GB2312" w:hAnsi="仿宋_GB2312" w:eastAsia="仿宋_GB2312" w:cs="仿宋_GB2312"/>
          <w:sz w:val="32"/>
          <w:szCs w:val="32"/>
          <w:lang w:val="en-US" w:eastAsia="zh-CN"/>
        </w:rPr>
        <w:t>和受托方惠州</w:t>
      </w:r>
      <w:r>
        <w:rPr>
          <w:rFonts w:hint="eastAsia" w:ascii="仿宋_GB2312" w:hAnsi="仿宋_GB2312" w:eastAsia="仿宋_GB2312" w:cs="仿宋_GB2312"/>
          <w:sz w:val="32"/>
          <w:szCs w:val="32"/>
          <w:lang w:eastAsia="zh-CN"/>
        </w:rPr>
        <w:t>安博臣</w:t>
      </w:r>
      <w:r>
        <w:rPr>
          <w:rFonts w:hint="eastAsia" w:ascii="仿宋_GB2312" w:hAnsi="仿宋_GB2312" w:eastAsia="仿宋_GB2312" w:cs="仿宋_GB2312"/>
          <w:b w:val="0"/>
          <w:bCs w:val="0"/>
          <w:color w:val="000000"/>
          <w:kern w:val="1"/>
          <w:sz w:val="32"/>
          <w:szCs w:val="32"/>
          <w:u w:val="none" w:color="auto"/>
          <w:lang w:val="en-US" w:eastAsia="zh-CN" w:bidi="ar-SA"/>
        </w:rPr>
        <w:t>的</w:t>
      </w:r>
      <w:r>
        <w:rPr>
          <w:rFonts w:hint="eastAsia" w:ascii="仿宋_GB2312" w:hAnsi="仿宋_GB2312" w:eastAsia="仿宋_GB2312" w:cs="仿宋_GB2312"/>
          <w:b w:val="0"/>
          <w:bCs w:val="0"/>
          <w:sz w:val="32"/>
          <w:szCs w:val="32"/>
          <w:u w:val="none"/>
          <w:lang w:val="en-US" w:eastAsia="zh-CN"/>
        </w:rPr>
        <w:t>问询调查笔录及相应证据材料，</w:t>
      </w:r>
      <w:r>
        <w:rPr>
          <w:rFonts w:hint="eastAsia" w:ascii="仿宋_GB2312" w:hAnsi="仿宋_GB2312" w:eastAsia="仿宋_GB2312" w:cs="仿宋_GB2312"/>
          <w:b w:val="0"/>
          <w:bCs w:val="0"/>
          <w:color w:val="auto"/>
          <w:kern w:val="1"/>
          <w:sz w:val="32"/>
          <w:szCs w:val="32"/>
          <w:u w:val="none"/>
          <w:lang w:val="en-US" w:eastAsia="zh-CN"/>
        </w:rPr>
        <w:t>判定当事人构成了生产不符合经注册产品技术要求的</w:t>
      </w:r>
      <w:r>
        <w:rPr>
          <w:rFonts w:hint="eastAsia" w:ascii="仿宋_GB2312" w:hAnsi="仿宋_GB2312" w:eastAsia="仿宋_GB2312" w:cs="仿宋_GB2312"/>
          <w:spacing w:val="-6"/>
          <w:kern w:val="2"/>
          <w:sz w:val="32"/>
          <w:szCs w:val="32"/>
          <w:vertAlign w:val="baseline"/>
          <w:lang w:val="en-US" w:eastAsia="zh-CN" w:bidi="ar-SA"/>
        </w:rPr>
        <w:t>医用透明质酸钠创面敷</w:t>
      </w:r>
      <w:r>
        <w:rPr>
          <w:rFonts w:hint="eastAsia" w:ascii="仿宋_GB2312" w:hAnsi="仿宋_GB2312" w:eastAsia="仿宋_GB2312" w:cs="仿宋_GB2312"/>
          <w:b w:val="0"/>
          <w:bCs w:val="0"/>
          <w:color w:val="auto"/>
          <w:kern w:val="1"/>
          <w:sz w:val="32"/>
          <w:szCs w:val="32"/>
          <w:u w:val="none"/>
          <w:lang w:val="en-US" w:eastAsia="zh-CN"/>
        </w:rPr>
        <w:t>的行为。</w:t>
      </w:r>
    </w:p>
    <w:p>
      <w:pPr>
        <w:keepNext w:val="0"/>
        <w:keepLines w:val="0"/>
        <w:pageBreakBefore w:val="0"/>
        <w:kinsoku/>
        <w:wordWrap/>
        <w:overflowPunct/>
        <w:topLinePunct w:val="0"/>
        <w:autoSpaceDE/>
        <w:autoSpaceDN/>
        <w:bidi w:val="0"/>
        <w:spacing w:line="540" w:lineRule="exact"/>
        <w:jc w:val="both"/>
        <w:textAlignment w:val="auto"/>
        <w:rPr>
          <w:rFonts w:ascii="黑体" w:hAnsi="黑体" w:eastAsia="黑体" w:cs="黑体"/>
          <w:color w:val="231F20"/>
          <w:spacing w:val="-11"/>
          <w:sz w:val="32"/>
          <w:szCs w:val="32"/>
          <w:lang w:eastAsia="zh-CN"/>
        </w:rPr>
      </w:pPr>
      <w:r>
        <w:rPr>
          <w:rFonts w:hint="eastAsia" w:ascii="黑体" w:hAnsi="黑体" w:eastAsia="黑体" w:cs="黑体"/>
          <w:color w:val="231F20"/>
          <w:spacing w:val="-11"/>
          <w:sz w:val="32"/>
          <w:szCs w:val="32"/>
          <w:lang w:eastAsia="zh-CN"/>
        </w:rPr>
        <w:t>上述事实，主要有以下证据证明：</w:t>
      </w:r>
    </w:p>
    <w:p>
      <w:pPr>
        <w:pStyle w:val="3"/>
        <w:keepNext w:val="0"/>
        <w:keepLines w:val="0"/>
        <w:pageBreakBefore w:val="0"/>
        <w:numPr>
          <w:ilvl w:val="0"/>
          <w:numId w:val="0"/>
        </w:numPr>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1.当事人《营业执照》、</w:t>
      </w:r>
      <w:r>
        <w:rPr>
          <w:rFonts w:hint="eastAsia" w:ascii="仿宋_GB2312" w:hAnsi="仿宋_GB2312" w:eastAsia="仿宋_GB2312" w:cs="仿宋_GB2312"/>
          <w:color w:val="auto"/>
          <w:kern w:val="1"/>
          <w:sz w:val="32"/>
          <w:szCs w:val="32"/>
          <w:u w:val="none"/>
          <w:lang w:eastAsia="zh-CN"/>
        </w:rPr>
        <w:t>医用透明质酸钠创面敷贴</w:t>
      </w:r>
      <w:r>
        <w:rPr>
          <w:rFonts w:hint="eastAsia" w:ascii="仿宋_GB2312" w:hAnsi="仿宋_GB2312" w:eastAsia="仿宋_GB2312" w:cs="仿宋_GB2312"/>
          <w:sz w:val="32"/>
          <w:szCs w:val="32"/>
          <w:lang w:val="en-US" w:eastAsia="zh-CN" w:bidi="ar-SA"/>
        </w:rPr>
        <w:t>《医疗器械注册证》及其产品技术要求、《医疗器械委托生产质量协议》《委托方对受托方的质量管理体系、综合生产能力的评估报告》、受托方惠州安博臣《医疗器械生产许可证》等材料复印件各1份，证明当事人资质情况及委托生产</w:t>
      </w:r>
      <w:r>
        <w:rPr>
          <w:rFonts w:hint="eastAsia" w:ascii="仿宋_GB2312" w:hAnsi="仿宋_GB2312" w:eastAsia="仿宋_GB2312" w:cs="仿宋_GB2312"/>
          <w:color w:val="auto"/>
          <w:kern w:val="1"/>
          <w:sz w:val="32"/>
          <w:szCs w:val="32"/>
          <w:u w:val="none"/>
          <w:lang w:eastAsia="zh-CN"/>
        </w:rPr>
        <w:t>医用透明质酸钠创面敷贴</w:t>
      </w:r>
      <w:r>
        <w:rPr>
          <w:rFonts w:hint="eastAsia" w:ascii="仿宋_GB2312" w:hAnsi="仿宋_GB2312" w:eastAsia="仿宋_GB2312" w:cs="仿宋_GB2312"/>
          <w:sz w:val="32"/>
          <w:szCs w:val="32"/>
          <w:lang w:val="en-US" w:eastAsia="zh-CN" w:bidi="ar-SA"/>
        </w:rPr>
        <w:t>的资质情况。</w:t>
      </w:r>
    </w:p>
    <w:p>
      <w:pPr>
        <w:pStyle w:val="3"/>
        <w:keepNext w:val="0"/>
        <w:keepLines w:val="0"/>
        <w:pageBreakBefore w:val="0"/>
        <w:kinsoku/>
        <w:wordWrap/>
        <w:overflowPunct/>
        <w:topLinePunct w:val="0"/>
        <w:autoSpaceDE/>
        <w:autoSpaceDN/>
        <w:bidi w:val="0"/>
        <w:spacing w:line="540" w:lineRule="exact"/>
        <w:ind w:left="0" w:firstLine="640" w:firstLineChars="200"/>
        <w:jc w:val="both"/>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2.现场笔录、询问笔录、当事人法定代表人巫</w:t>
      </w:r>
      <w:r>
        <w:rPr>
          <w:rFonts w:hint="eastAsia" w:ascii="仿宋_GB2312" w:hAnsi="仿宋_GB2312" w:eastAsia="仿宋_GB2312" w:cs="仿宋_GB2312"/>
          <w:kern w:val="0"/>
          <w:sz w:val="32"/>
          <w:szCs w:val="32"/>
          <w:lang w:val="en-US" w:eastAsia="zh-CN"/>
        </w:rPr>
        <w:t>xx</w:t>
      </w:r>
      <w:r>
        <w:rPr>
          <w:rFonts w:hint="eastAsia" w:ascii="仿宋_GB2312" w:hAnsi="仿宋_GB2312" w:eastAsia="仿宋_GB2312" w:cs="仿宋_GB2312"/>
          <w:sz w:val="32"/>
          <w:szCs w:val="32"/>
          <w:lang w:val="en-US" w:eastAsia="zh-CN" w:bidi="ar-SA"/>
        </w:rPr>
        <w:t>、管理者代汪</w:t>
      </w:r>
      <w:r>
        <w:rPr>
          <w:rFonts w:hint="eastAsia" w:ascii="仿宋_GB2312" w:hAnsi="仿宋_GB2312" w:eastAsia="仿宋_GB2312" w:cs="仿宋_GB2312"/>
          <w:kern w:val="0"/>
          <w:sz w:val="32"/>
          <w:szCs w:val="32"/>
          <w:lang w:val="en-US" w:eastAsia="zh-CN"/>
        </w:rPr>
        <w:t>xx</w:t>
      </w:r>
      <w:r>
        <w:rPr>
          <w:rFonts w:hint="eastAsia" w:ascii="仿宋_GB2312" w:hAnsi="仿宋_GB2312" w:eastAsia="仿宋_GB2312" w:cs="仿宋_GB2312"/>
          <w:sz w:val="32"/>
          <w:szCs w:val="32"/>
          <w:lang w:val="en-US" w:eastAsia="zh-CN" w:bidi="ar-SA"/>
        </w:rPr>
        <w:t>、惠州安博臣管理者代表巫</w:t>
      </w:r>
      <w:r>
        <w:rPr>
          <w:rFonts w:hint="eastAsia" w:ascii="仿宋_GB2312" w:hAnsi="仿宋_GB2312" w:eastAsia="仿宋_GB2312" w:cs="仿宋_GB2312"/>
          <w:kern w:val="0"/>
          <w:sz w:val="32"/>
          <w:szCs w:val="32"/>
          <w:lang w:val="en-US" w:eastAsia="zh-CN"/>
        </w:rPr>
        <w:t>xx</w:t>
      </w:r>
      <w:r>
        <w:rPr>
          <w:rFonts w:hint="eastAsia" w:ascii="仿宋_GB2312" w:hAnsi="仿宋_GB2312" w:eastAsia="仿宋_GB2312" w:cs="仿宋_GB2312"/>
          <w:sz w:val="32"/>
          <w:szCs w:val="32"/>
          <w:lang w:val="en-US" w:eastAsia="zh-CN" w:bidi="ar-SA"/>
        </w:rPr>
        <w:t>等3人居民身份证复印件、管理者代表任命书，证明当事人相关人员的身份、职务情况；法定代表人巫</w:t>
      </w:r>
      <w:r>
        <w:rPr>
          <w:rFonts w:hint="eastAsia" w:ascii="仿宋_GB2312" w:hAnsi="仿宋_GB2312" w:eastAsia="仿宋_GB2312" w:cs="仿宋_GB2312"/>
          <w:kern w:val="0"/>
          <w:sz w:val="32"/>
          <w:szCs w:val="32"/>
          <w:lang w:val="en-US" w:eastAsia="zh-CN"/>
        </w:rPr>
        <w:t>xx</w:t>
      </w:r>
      <w:r>
        <w:rPr>
          <w:rFonts w:hint="eastAsia" w:ascii="仿宋_GB2312" w:hAnsi="仿宋_GB2312" w:eastAsia="仿宋_GB2312" w:cs="仿宋_GB2312"/>
          <w:sz w:val="32"/>
          <w:szCs w:val="32"/>
          <w:lang w:val="en-US" w:eastAsia="zh-CN" w:bidi="ar-SA"/>
        </w:rPr>
        <w:t>《委托授权书》1份，证明当事人的授权情况。</w:t>
      </w:r>
    </w:p>
    <w:p>
      <w:pPr>
        <w:pStyle w:val="3"/>
        <w:keepNext w:val="0"/>
        <w:keepLines w:val="0"/>
        <w:pageBreakBefore w:val="0"/>
        <w:numPr>
          <w:ilvl w:val="0"/>
          <w:numId w:val="0"/>
        </w:numPr>
        <w:kinsoku/>
        <w:wordWrap/>
        <w:overflowPunct/>
        <w:topLinePunct w:val="0"/>
        <w:autoSpaceDE/>
        <w:autoSpaceDN/>
        <w:bidi w:val="0"/>
        <w:spacing w:line="540" w:lineRule="exact"/>
        <w:ind w:firstLine="640" w:firstLineChars="200"/>
        <w:jc w:val="both"/>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3.</w:t>
      </w:r>
      <w:r>
        <w:rPr>
          <w:rFonts w:hint="eastAsia" w:ascii="仿宋_GB2312" w:hAnsi="仿宋_GB2312" w:eastAsia="仿宋_GB2312" w:cs="仿宋_GB2312"/>
          <w:color w:val="auto"/>
          <w:kern w:val="0"/>
          <w:sz w:val="32"/>
          <w:szCs w:val="32"/>
          <w:u w:val="none"/>
          <w:lang w:val="en-US" w:eastAsia="zh-CN"/>
        </w:rPr>
        <w:t>山东省医疗器械和药品包装检验研究院《检验报告》（编号：Y20260609026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bidi="ar-SA"/>
        </w:rPr>
        <w:t>，证明当事人委托生产的</w:t>
      </w:r>
      <w:r>
        <w:rPr>
          <w:rFonts w:hint="eastAsia" w:ascii="仿宋_GB2312" w:hAnsi="仿宋_GB2312" w:eastAsia="仿宋_GB2312" w:cs="仿宋_GB2312"/>
          <w:sz w:val="32"/>
          <w:szCs w:val="32"/>
          <w:lang w:eastAsia="zh-CN"/>
        </w:rPr>
        <w:t>批号为</w:t>
      </w:r>
      <w:r>
        <w:rPr>
          <w:rFonts w:hint="eastAsia" w:ascii="仿宋_GB2312" w:hAnsi="仿宋_GB2312" w:eastAsia="仿宋_GB2312" w:cs="仿宋_GB2312"/>
          <w:kern w:val="0"/>
          <w:sz w:val="32"/>
          <w:szCs w:val="32"/>
          <w:u w:val="none"/>
          <w:lang w:val="en-US" w:eastAsia="zh-CN"/>
        </w:rPr>
        <w:t>20260424</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kern w:val="0"/>
          <w:sz w:val="32"/>
          <w:szCs w:val="32"/>
          <w:u w:val="none"/>
          <w:lang w:val="en-US" w:eastAsia="zh-CN"/>
        </w:rPr>
        <w:t>医用透明质酸钠创面敷贴检验</w:t>
      </w:r>
      <w:r>
        <w:rPr>
          <w:rFonts w:hint="eastAsia" w:ascii="仿宋_GB2312" w:hAnsi="仿宋_GB2312" w:eastAsia="仿宋_GB2312" w:cs="仿宋_GB2312"/>
          <w:bCs/>
          <w:sz w:val="32"/>
          <w:szCs w:val="32"/>
          <w:u w:val="none"/>
          <w:lang w:val="en-US" w:eastAsia="zh-CN"/>
        </w:rPr>
        <w:t>结论为</w:t>
      </w:r>
      <w:r>
        <w:rPr>
          <w:rFonts w:hint="eastAsia" w:ascii="仿宋_GB2312" w:hAnsi="仿宋_GB2312" w:eastAsia="仿宋_GB2312" w:cs="仿宋_GB2312"/>
          <w:sz w:val="32"/>
          <w:szCs w:val="32"/>
          <w:lang w:eastAsia="zh-CN"/>
        </w:rPr>
        <w:t>不符合</w:t>
      </w:r>
      <w:r>
        <w:rPr>
          <w:rFonts w:hint="eastAsia" w:ascii="仿宋_GB2312" w:hAnsi="仿宋_GB2312" w:eastAsia="仿宋_GB2312" w:cs="仿宋_GB2312"/>
          <w:kern w:val="1"/>
          <w:sz w:val="32"/>
          <w:szCs w:val="32"/>
          <w:u w:val="none"/>
          <w:lang w:eastAsia="zh-CN"/>
        </w:rPr>
        <w:t>闽械注准20252140192</w:t>
      </w:r>
      <w:r>
        <w:rPr>
          <w:rFonts w:hint="eastAsia" w:ascii="仿宋_GB2312" w:hAnsi="仿宋_GB2312" w:eastAsia="仿宋_GB2312" w:cs="仿宋_GB2312"/>
          <w:color w:val="000000" w:themeColor="text1"/>
          <w:sz w:val="32"/>
          <w:szCs w:val="32"/>
          <w:lang w:eastAsia="zh-CN"/>
          <w14:textFill>
            <w14:solidFill>
              <w14:schemeClr w14:val="tx1"/>
            </w14:solidFill>
          </w14:textFill>
        </w:rPr>
        <w:t>产品技术要求</w:t>
      </w:r>
      <w:r>
        <w:rPr>
          <w:rFonts w:hint="eastAsia" w:ascii="仿宋_GB2312" w:hAnsi="仿宋_GB2312" w:eastAsia="仿宋_GB2312" w:cs="仿宋_GB2312"/>
          <w:sz w:val="32"/>
          <w:szCs w:val="32"/>
          <w:lang w:val="en-US" w:eastAsia="zh-CN" w:bidi="ar-SA"/>
        </w:rPr>
        <w:t>。</w:t>
      </w:r>
    </w:p>
    <w:p>
      <w:pPr>
        <w:pStyle w:val="3"/>
        <w:keepNext w:val="0"/>
        <w:keepLines w:val="0"/>
        <w:pageBreakBefore w:val="0"/>
        <w:kinsoku/>
        <w:wordWrap/>
        <w:overflowPunct/>
        <w:topLinePunct w:val="0"/>
        <w:autoSpaceDE/>
        <w:autoSpaceDN/>
        <w:bidi w:val="0"/>
        <w:spacing w:line="540" w:lineRule="exact"/>
        <w:ind w:left="0" w:firstLine="640" w:firstLineChars="200"/>
        <w:jc w:val="both"/>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4.</w:t>
      </w:r>
      <w:r>
        <w:rPr>
          <w:rFonts w:hint="eastAsia" w:ascii="仿宋_GB2312" w:hAnsi="仿宋_GB2312" w:eastAsia="仿宋_GB2312" w:cs="仿宋_GB2312"/>
          <w:sz w:val="32"/>
          <w:szCs w:val="32"/>
          <w:lang w:eastAsia="zh-CN"/>
        </w:rPr>
        <w:t>询问笔录、</w:t>
      </w:r>
      <w:r>
        <w:rPr>
          <w:rFonts w:hint="eastAsia" w:ascii="仿宋_GB2312" w:hAnsi="仿宋_GB2312" w:eastAsia="仿宋_GB2312" w:cs="仿宋_GB2312"/>
          <w:sz w:val="32"/>
          <w:szCs w:val="32"/>
          <w:lang w:val="en-US" w:eastAsia="zh-CN" w:bidi="ar-SA"/>
        </w:rPr>
        <w:t>当事人涉案批次</w:t>
      </w:r>
      <w:r>
        <w:rPr>
          <w:rFonts w:hint="eastAsia" w:ascii="仿宋_GB2312" w:hAnsi="仿宋_GB2312" w:eastAsia="仿宋_GB2312" w:cs="仿宋_GB2312"/>
          <w:kern w:val="0"/>
          <w:sz w:val="32"/>
          <w:szCs w:val="32"/>
          <w:u w:val="none"/>
          <w:lang w:val="en-US" w:eastAsia="zh-CN"/>
        </w:rPr>
        <w:t>医用透明质酸钠创面敷贴</w:t>
      </w:r>
      <w:r>
        <w:rPr>
          <w:rFonts w:hint="eastAsia" w:ascii="仿宋_GB2312" w:hAnsi="仿宋_GB2312" w:eastAsia="仿宋_GB2312" w:cs="仿宋_GB2312"/>
          <w:sz w:val="32"/>
          <w:szCs w:val="32"/>
          <w:lang w:val="en-US" w:eastAsia="zh-CN" w:bidi="ar-SA"/>
        </w:rPr>
        <w:t>批生产记录、《</w:t>
      </w:r>
      <w:r>
        <w:rPr>
          <w:rFonts w:hint="eastAsia" w:ascii="仿宋_GB2312" w:hAnsi="仿宋_GB2312" w:eastAsia="仿宋_GB2312" w:cs="仿宋_GB2312"/>
          <w:kern w:val="0"/>
          <w:sz w:val="32"/>
          <w:szCs w:val="32"/>
          <w:u w:val="none"/>
          <w:lang w:val="en-US" w:eastAsia="zh-CN"/>
        </w:rPr>
        <w:t>医用透明质酸钠创面敷贴</w:t>
      </w:r>
      <w:r>
        <w:rPr>
          <w:rFonts w:hint="eastAsia" w:ascii="仿宋_GB2312" w:hAnsi="仿宋_GB2312" w:eastAsia="仿宋_GB2312" w:cs="仿宋_GB2312"/>
          <w:sz w:val="32"/>
          <w:szCs w:val="32"/>
          <w:lang w:val="en-US" w:eastAsia="zh-CN" w:bidi="ar-SA"/>
        </w:rPr>
        <w:t>留样记录表》《</w:t>
      </w:r>
      <w:r>
        <w:rPr>
          <w:rFonts w:hint="eastAsia" w:ascii="仿宋_GB2312" w:hAnsi="仿宋_GB2312" w:eastAsia="仿宋_GB2312" w:cs="仿宋_GB2312"/>
          <w:kern w:val="0"/>
          <w:sz w:val="32"/>
          <w:szCs w:val="32"/>
          <w:u w:val="none"/>
          <w:lang w:val="en-US" w:eastAsia="zh-CN"/>
        </w:rPr>
        <w:t>医用透明质酸钠创面敷贴</w:t>
      </w:r>
      <w:r>
        <w:rPr>
          <w:rFonts w:hint="eastAsia" w:ascii="仿宋_GB2312" w:hAnsi="仿宋_GB2312" w:eastAsia="仿宋_GB2312" w:cs="仿宋_GB2312"/>
          <w:sz w:val="32"/>
          <w:szCs w:val="32"/>
          <w:lang w:val="en-US" w:eastAsia="zh-CN" w:bidi="ar-SA"/>
        </w:rPr>
        <w:t>成品检验规程》及惠州安博臣《</w:t>
      </w:r>
      <w:r>
        <w:rPr>
          <w:rFonts w:hint="eastAsia" w:ascii="仿宋_GB2312" w:hAnsi="仿宋_GB2312" w:eastAsia="仿宋_GB2312" w:cs="仿宋_GB2312"/>
          <w:kern w:val="0"/>
          <w:sz w:val="32"/>
          <w:szCs w:val="32"/>
          <w:u w:val="none"/>
          <w:lang w:val="en-US" w:eastAsia="zh-CN"/>
        </w:rPr>
        <w:t>医用透明质酸钠创面敷贴</w:t>
      </w:r>
      <w:r>
        <w:rPr>
          <w:rFonts w:hint="eastAsia" w:ascii="仿宋_GB2312" w:hAnsi="仿宋_GB2312" w:eastAsia="仿宋_GB2312" w:cs="仿宋_GB2312"/>
          <w:sz w:val="32"/>
          <w:szCs w:val="32"/>
          <w:lang w:val="en-US" w:eastAsia="zh-CN" w:bidi="ar-SA"/>
        </w:rPr>
        <w:t>成品检验规程》及留样品照片等材料复印件各1份，证明当事人涉案批次产品的生产、检验及留样情况。</w:t>
      </w:r>
    </w:p>
    <w:p>
      <w:pPr>
        <w:pStyle w:val="3"/>
        <w:keepNext w:val="0"/>
        <w:keepLines w:val="0"/>
        <w:pageBreakBefore w:val="0"/>
        <w:kinsoku/>
        <w:wordWrap/>
        <w:overflowPunct/>
        <w:topLinePunct w:val="0"/>
        <w:autoSpaceDE/>
        <w:autoSpaceDN/>
        <w:bidi w:val="0"/>
        <w:spacing w:line="540" w:lineRule="exact"/>
        <w:ind w:left="0" w:firstLine="640" w:firstLineChars="200"/>
        <w:jc w:val="both"/>
        <w:textAlignment w:val="auto"/>
        <w:rPr>
          <w:rFonts w:hint="eastAsia" w:ascii="仿宋_GB2312" w:hAnsi="仿宋_GB2312" w:eastAsia="仿宋_GB2312" w:cs="仿宋_GB2312"/>
          <w:color w:val="auto"/>
          <w:kern w:val="1"/>
          <w:lang w:eastAsia="zh-CN"/>
        </w:rPr>
      </w:pPr>
      <w:r>
        <w:rPr>
          <w:rFonts w:hint="eastAsia" w:ascii="仿宋_GB2312" w:hAnsi="仿宋_GB2312" w:eastAsia="仿宋_GB2312" w:cs="仿宋_GB2312"/>
          <w:lang w:val="en-US" w:eastAsia="zh-CN"/>
        </w:rPr>
        <w:t>5</w:t>
      </w:r>
      <w:r>
        <w:rPr>
          <w:rFonts w:hint="eastAsia" w:ascii="仿宋_GB2312" w:hAnsi="仿宋_GB2312" w:eastAsia="仿宋_GB2312" w:cs="仿宋_GB2312"/>
          <w:lang w:eastAsia="zh-CN"/>
        </w:rPr>
        <w:t>.</w:t>
      </w:r>
      <w:r>
        <w:rPr>
          <w:rFonts w:hint="eastAsia" w:ascii="仿宋_GB2312" w:hAnsi="仿宋_GB2312" w:eastAsia="仿宋_GB2312" w:cs="仿宋_GB2312"/>
          <w:sz w:val="32"/>
          <w:szCs w:val="32"/>
          <w:lang w:eastAsia="zh-CN"/>
        </w:rPr>
        <w:t>询问笔录、</w:t>
      </w:r>
      <w:r>
        <w:rPr>
          <w:rFonts w:hint="eastAsia" w:ascii="仿宋_GB2312" w:hAnsi="仿宋_GB2312" w:eastAsia="仿宋_GB2312" w:cs="仿宋_GB2312"/>
          <w:kern w:val="1"/>
          <w:lang w:eastAsia="zh-CN"/>
        </w:rPr>
        <w:t>当事人</w:t>
      </w:r>
      <w:r>
        <w:rPr>
          <w:rFonts w:hint="eastAsia" w:ascii="仿宋_GB2312" w:hAnsi="仿宋_GB2312" w:eastAsia="仿宋_GB2312" w:cs="仿宋_GB2312"/>
          <w:color w:val="000000" w:themeColor="text1"/>
          <w:lang w:eastAsia="zh-CN"/>
          <w14:textFill>
            <w14:solidFill>
              <w14:schemeClr w14:val="tx1"/>
            </w14:solidFill>
          </w14:textFill>
        </w:rPr>
        <w:t>《采取风险控制措施及复检告知承诺书》</w:t>
      </w:r>
      <w:r>
        <w:rPr>
          <w:rFonts w:hint="eastAsia" w:ascii="仿宋_GB2312" w:hAnsi="仿宋_GB2312" w:eastAsia="仿宋_GB2312" w:cs="仿宋_GB2312"/>
          <w:kern w:val="1"/>
          <w:lang w:eastAsia="zh-CN"/>
        </w:rPr>
        <w:t>《抽检不合格品采取措施的承诺书》</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不合格品处理报告</w:t>
      </w:r>
      <w:r>
        <w:rPr>
          <w:rFonts w:hint="eastAsia" w:ascii="仿宋_GB2312" w:hAnsi="仿宋_GB2312" w:eastAsia="仿宋_GB2312" w:cs="仿宋_GB2312"/>
          <w:highlight w:val="none"/>
          <w:lang w:eastAsia="zh-CN"/>
        </w:rPr>
        <w:t>》《关于批号</w:t>
      </w:r>
      <w:r>
        <w:rPr>
          <w:rFonts w:hint="eastAsia" w:ascii="仿宋_GB2312" w:hAnsi="仿宋_GB2312" w:eastAsia="仿宋_GB2312" w:cs="仿宋_GB2312"/>
          <w:highlight w:val="none"/>
          <w:lang w:val="en-US" w:eastAsia="zh-CN"/>
        </w:rPr>
        <w:t>20260424产品展示说明</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lang w:eastAsia="zh-CN"/>
        </w:rPr>
        <w:t>原件各1份；《关于批号20260424剩余95袋产品销毁情况的说明》</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涉案库存产品销毁视频</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光盘1份</w:t>
      </w:r>
      <w:r>
        <w:rPr>
          <w:rFonts w:hint="eastAsia" w:ascii="仿宋_GB2312" w:hAnsi="仿宋_GB2312" w:eastAsia="仿宋_GB2312" w:cs="仿宋_GB2312"/>
          <w:lang w:val="en-US" w:eastAsia="zh-CN"/>
        </w:rPr>
        <w:t>；</w:t>
      </w:r>
      <w:r>
        <w:rPr>
          <w:rFonts w:hint="eastAsia" w:ascii="仿宋_GB2312" w:hAnsi="仿宋_GB2312" w:eastAsia="仿宋_GB2312" w:cs="仿宋_GB2312"/>
          <w:kern w:val="1"/>
          <w:lang w:eastAsia="zh-CN"/>
        </w:rPr>
        <w:t>证明当事人采取风险控制、</w:t>
      </w:r>
      <w:r>
        <w:rPr>
          <w:rFonts w:hint="eastAsia" w:ascii="仿宋_GB2312" w:hAnsi="仿宋_GB2312" w:eastAsia="仿宋_GB2312" w:cs="仿宋_GB2312"/>
          <w:kern w:val="1"/>
          <w:lang w:val="en-US" w:eastAsia="zh-CN"/>
        </w:rPr>
        <w:t>原因分析及</w:t>
      </w:r>
      <w:r>
        <w:rPr>
          <w:rFonts w:hint="eastAsia" w:ascii="仿宋_GB2312" w:hAnsi="仿宋_GB2312" w:eastAsia="仿宋_GB2312" w:cs="仿宋_GB2312"/>
          <w:kern w:val="1"/>
          <w:lang w:eastAsia="zh-CN"/>
        </w:rPr>
        <w:t>纠正措施情况</w:t>
      </w:r>
      <w:r>
        <w:rPr>
          <w:rFonts w:hint="eastAsia" w:ascii="仿宋_GB2312" w:hAnsi="仿宋_GB2312" w:eastAsia="仿宋_GB2312" w:cs="仿宋_GB2312"/>
          <w:kern w:val="1"/>
          <w:lang w:val="en-US" w:eastAsia="zh-CN"/>
        </w:rPr>
        <w:t>及库存产品销毁情况</w:t>
      </w:r>
      <w:r>
        <w:rPr>
          <w:rFonts w:hint="eastAsia" w:ascii="仿宋_GB2312" w:hAnsi="仿宋_GB2312" w:eastAsia="仿宋_GB2312" w:cs="仿宋_GB2312"/>
          <w:kern w:val="1"/>
          <w:lang w:eastAsia="zh-CN"/>
        </w:rPr>
        <w:t>。</w:t>
      </w:r>
    </w:p>
    <w:p>
      <w:pPr>
        <w:pStyle w:val="3"/>
        <w:keepNext w:val="0"/>
        <w:keepLines w:val="0"/>
        <w:pageBreakBefore w:val="0"/>
        <w:kinsoku/>
        <w:wordWrap/>
        <w:overflowPunct/>
        <w:topLinePunct w:val="0"/>
        <w:autoSpaceDE/>
        <w:autoSpaceDN/>
        <w:bidi w:val="0"/>
        <w:spacing w:line="540" w:lineRule="exact"/>
        <w:ind w:left="0" w:firstLine="640" w:firstLineChars="200"/>
        <w:jc w:val="both"/>
        <w:textAlignment w:val="auto"/>
        <w:rPr>
          <w:rFonts w:hint="eastAsia" w:ascii="仿宋_GB2312" w:hAnsi="仿宋_GB2312" w:eastAsia="仿宋_GB2312" w:cs="仿宋_GB2312"/>
          <w:color w:val="auto"/>
          <w:spacing w:val="0"/>
          <w:kern w:val="1"/>
          <w:lang w:val="en-US" w:eastAsia="zh-CN"/>
        </w:rPr>
      </w:pPr>
      <w:r>
        <w:rPr>
          <w:rFonts w:hint="eastAsia" w:ascii="仿宋_GB2312" w:hAnsi="仿宋_GB2312" w:eastAsia="仿宋_GB2312" w:cs="仿宋_GB2312"/>
          <w:kern w:val="1"/>
          <w:lang w:val="en-US" w:eastAsia="zh-CN"/>
        </w:rPr>
        <w:t>6.</w:t>
      </w:r>
      <w:r>
        <w:rPr>
          <w:rFonts w:hint="eastAsia" w:ascii="仿宋_GB2312" w:hAnsi="仿宋_GB2312" w:eastAsia="仿宋_GB2312" w:cs="仿宋_GB2312"/>
          <w:kern w:val="1"/>
          <w:sz w:val="32"/>
          <w:szCs w:val="32"/>
          <w:lang w:eastAsia="zh-CN"/>
        </w:rPr>
        <w:t>询问笔录、</w:t>
      </w:r>
      <w:r>
        <w:rPr>
          <w:rFonts w:hint="eastAsia" w:ascii="仿宋_GB2312" w:hAnsi="仿宋_GB2312" w:eastAsia="仿宋_GB2312" w:cs="仿宋_GB2312"/>
          <w:kern w:val="1"/>
          <w:lang w:val="en-US" w:eastAsia="zh-CN"/>
        </w:rPr>
        <w:t>惠州安博臣提供的涉案批次产品《仓库出入库台账》及《货位卡》复印件各1份及</w:t>
      </w:r>
      <w:r>
        <w:rPr>
          <w:rFonts w:hint="eastAsia" w:ascii="仿宋_GB2312" w:hAnsi="仿宋_GB2312" w:eastAsia="仿宋_GB2312" w:cs="仿宋_GB2312"/>
          <w:color w:val="auto"/>
          <w:spacing w:val="0"/>
          <w:kern w:val="1"/>
          <w:lang w:val="en-US" w:eastAsia="zh-CN"/>
        </w:rPr>
        <w:t>《医疗器械抽样记录及凭证》（抽样编号：3526303001002）复印件1份，证明涉案物品使用情况；《医用透明质酸钠创面敷贴销售价格体系》复印件1份，证明涉案批次产品销售价格情况。</w:t>
      </w:r>
    </w:p>
    <w:p>
      <w:pPr>
        <w:pStyle w:val="3"/>
        <w:keepNext w:val="0"/>
        <w:keepLines w:val="0"/>
        <w:pageBreakBefore w:val="0"/>
        <w:kinsoku/>
        <w:wordWrap/>
        <w:overflowPunct/>
        <w:topLinePunct w:val="0"/>
        <w:autoSpaceDE/>
        <w:autoSpaceDN/>
        <w:bidi w:val="0"/>
        <w:spacing w:line="540" w:lineRule="exact"/>
        <w:ind w:left="0" w:firstLine="640" w:firstLineChars="200"/>
        <w:jc w:val="both"/>
        <w:textAlignment w:val="auto"/>
        <w:rPr>
          <w:rFonts w:hint="eastAsia" w:ascii="仿宋_GB2312" w:hAnsi="仿宋_GB2312" w:eastAsia="仿宋_GB2312" w:cs="仿宋_GB2312"/>
          <w:kern w:val="1"/>
          <w:highlight w:val="none"/>
          <w:lang w:val="en-US" w:eastAsia="zh-CN"/>
        </w:rPr>
      </w:pPr>
      <w:r>
        <w:rPr>
          <w:rFonts w:hint="eastAsia" w:ascii="仿宋_GB2312" w:hAnsi="仿宋_GB2312" w:eastAsia="仿宋_GB2312" w:cs="仿宋_GB2312"/>
          <w:kern w:val="1"/>
          <w:lang w:val="en-US" w:eastAsia="zh-CN"/>
        </w:rPr>
        <w:t>7</w:t>
      </w:r>
      <w:r>
        <w:rPr>
          <w:rFonts w:hint="eastAsia" w:ascii="仿宋_GB2312" w:hAnsi="仿宋_GB2312" w:eastAsia="仿宋_GB2312" w:cs="仿宋_GB2312"/>
          <w:kern w:val="1"/>
          <w:lang w:eastAsia="zh-CN"/>
        </w:rPr>
        <w:t>.</w:t>
      </w:r>
      <w:r>
        <w:rPr>
          <w:rFonts w:hint="eastAsia" w:ascii="仿宋_GB2312" w:hAnsi="仿宋_GB2312" w:eastAsia="仿宋_GB2312" w:cs="仿宋_GB2312"/>
          <w:kern w:val="1"/>
          <w:sz w:val="32"/>
          <w:szCs w:val="32"/>
          <w:lang w:eastAsia="zh-CN"/>
        </w:rPr>
        <w:t>询问笔录、</w:t>
      </w:r>
      <w:r>
        <w:rPr>
          <w:rFonts w:hint="eastAsia" w:ascii="仿宋_GB2312" w:hAnsi="仿宋_GB2312" w:eastAsia="仿宋_GB2312" w:cs="仿宋_GB2312"/>
          <w:kern w:val="1"/>
          <w:highlight w:val="none"/>
          <w:lang w:eastAsia="zh-CN"/>
        </w:rPr>
        <w:t>国家企业信用信息公示系统检索结果网页截图（检索时间：202</w:t>
      </w:r>
      <w:r>
        <w:rPr>
          <w:rFonts w:hint="eastAsia" w:ascii="仿宋_GB2312" w:hAnsi="仿宋_GB2312" w:eastAsia="仿宋_GB2312" w:cs="仿宋_GB2312"/>
          <w:kern w:val="1"/>
          <w:highlight w:val="none"/>
          <w:lang w:val="en-US" w:eastAsia="zh-CN"/>
        </w:rPr>
        <w:t>6</w:t>
      </w:r>
      <w:r>
        <w:rPr>
          <w:rFonts w:hint="eastAsia" w:ascii="仿宋_GB2312" w:hAnsi="仿宋_GB2312" w:eastAsia="仿宋_GB2312" w:cs="仿宋_GB2312"/>
          <w:kern w:val="1"/>
          <w:highlight w:val="none"/>
          <w:lang w:eastAsia="zh-CN"/>
        </w:rPr>
        <w:t>年</w:t>
      </w:r>
      <w:r>
        <w:rPr>
          <w:rFonts w:hint="eastAsia" w:ascii="仿宋_GB2312" w:hAnsi="仿宋_GB2312" w:eastAsia="仿宋_GB2312" w:cs="仿宋_GB2312"/>
          <w:kern w:val="1"/>
          <w:highlight w:val="none"/>
          <w:lang w:val="en-US" w:eastAsia="zh-CN"/>
        </w:rPr>
        <w:t>8</w:t>
      </w:r>
      <w:r>
        <w:rPr>
          <w:rFonts w:hint="eastAsia" w:ascii="仿宋_GB2312" w:hAnsi="仿宋_GB2312" w:eastAsia="仿宋_GB2312" w:cs="仿宋_GB2312"/>
          <w:kern w:val="1"/>
          <w:highlight w:val="none"/>
          <w:lang w:eastAsia="zh-CN"/>
        </w:rPr>
        <w:t>月</w:t>
      </w:r>
      <w:r>
        <w:rPr>
          <w:rFonts w:hint="eastAsia" w:ascii="仿宋_GB2312" w:hAnsi="仿宋_GB2312" w:eastAsia="仿宋_GB2312" w:cs="仿宋_GB2312"/>
          <w:kern w:val="1"/>
          <w:highlight w:val="none"/>
          <w:lang w:val="en-US" w:eastAsia="zh-CN"/>
        </w:rPr>
        <w:t>10</w:t>
      </w:r>
      <w:r>
        <w:rPr>
          <w:rFonts w:hint="eastAsia" w:ascii="仿宋_GB2312" w:hAnsi="仿宋_GB2312" w:eastAsia="仿宋_GB2312" w:cs="仿宋_GB2312"/>
          <w:kern w:val="1"/>
          <w:highlight w:val="none"/>
          <w:lang w:eastAsia="zh-CN"/>
        </w:rPr>
        <w:t>日），证明当事人系初次违法。</w:t>
      </w:r>
    </w:p>
    <w:p>
      <w:pPr>
        <w:pStyle w:val="3"/>
        <w:keepNext w:val="0"/>
        <w:keepLines w:val="0"/>
        <w:pageBreakBefore w:val="0"/>
        <w:kinsoku/>
        <w:wordWrap/>
        <w:overflowPunct/>
        <w:topLinePunct w:val="0"/>
        <w:autoSpaceDE/>
        <w:autoSpaceDN/>
        <w:bidi w:val="0"/>
        <w:snapToGrid w:val="0"/>
        <w:spacing w:line="540" w:lineRule="exact"/>
        <w:ind w:left="0" w:firstLine="640" w:firstLineChars="200"/>
        <w:jc w:val="both"/>
        <w:textAlignment w:val="auto"/>
        <w:rPr>
          <w:rFonts w:hint="eastAsia" w:ascii="仿宋_GB2312" w:hAnsi="仿宋_GB2312" w:eastAsia="仿宋_GB2312" w:cs="仿宋_GB2312"/>
          <w:w w:val="99"/>
          <w:lang w:eastAsia="zh-CN"/>
        </w:rPr>
      </w:pPr>
      <w:r>
        <w:rPr>
          <w:rFonts w:hint="eastAsia" w:ascii="仿宋_GB2312" w:hAnsi="仿宋_GB2312" w:eastAsia="仿宋_GB2312" w:cs="仿宋_GB2312"/>
          <w:lang w:eastAsia="zh-CN"/>
        </w:rPr>
        <w:t>202</w:t>
      </w:r>
      <w:r>
        <w:rPr>
          <w:rFonts w:hint="eastAsia" w:ascii="仿宋_GB2312" w:hAnsi="仿宋_GB2312" w:eastAsia="仿宋_GB2312" w:cs="仿宋_GB2312"/>
          <w:lang w:val="en-US" w:eastAsia="zh-CN"/>
        </w:rPr>
        <w:t>6</w:t>
      </w:r>
      <w:r>
        <w:rPr>
          <w:rFonts w:hint="eastAsia" w:ascii="仿宋_GB2312" w:hAnsi="仿宋_GB2312" w:eastAsia="仿宋_GB2312" w:cs="仿宋_GB2312"/>
          <w:lang w:eastAsia="zh-CN"/>
        </w:rPr>
        <w:t>年</w:t>
      </w:r>
      <w:r>
        <w:rPr>
          <w:rFonts w:hint="eastAsia" w:ascii="仿宋_GB2312" w:hAnsi="仿宋_GB2312" w:eastAsia="仿宋_GB2312" w:cs="仿宋_GB2312"/>
          <w:lang w:val="en-US" w:eastAsia="zh-CN"/>
        </w:rPr>
        <w:t>9</w:t>
      </w:r>
      <w:r>
        <w:rPr>
          <w:rFonts w:hint="eastAsia" w:ascii="仿宋_GB2312" w:hAnsi="仿宋_GB2312" w:eastAsia="仿宋_GB2312" w:cs="仿宋_GB2312"/>
          <w:lang w:eastAsia="zh-CN"/>
        </w:rPr>
        <w:t>月</w:t>
      </w:r>
      <w:r>
        <w:rPr>
          <w:rFonts w:hint="eastAsia" w:ascii="仿宋_GB2312" w:hAnsi="仿宋_GB2312" w:eastAsia="仿宋_GB2312" w:cs="仿宋_GB2312"/>
          <w:lang w:val="en-US" w:eastAsia="zh-CN"/>
        </w:rPr>
        <w:t>29</w:t>
      </w:r>
      <w:r>
        <w:rPr>
          <w:rFonts w:hint="eastAsia" w:ascii="仿宋_GB2312" w:hAnsi="仿宋_GB2312" w:eastAsia="仿宋_GB2312" w:cs="仿宋_GB2312"/>
          <w:lang w:eastAsia="zh-CN"/>
        </w:rPr>
        <w:t>日，我局</w:t>
      </w:r>
      <w:r>
        <w:rPr>
          <w:rFonts w:hint="eastAsia" w:ascii="仿宋_GB2312" w:hAnsi="仿宋_GB2312" w:eastAsia="仿宋_GB2312" w:cs="仿宋_GB2312"/>
          <w:w w:val="99"/>
          <w:lang w:eastAsia="zh-CN"/>
        </w:rPr>
        <w:t>向</w:t>
      </w:r>
      <w:r>
        <w:rPr>
          <w:rFonts w:hint="eastAsia" w:ascii="仿宋_GB2312" w:hAnsi="仿宋_GB2312" w:eastAsia="仿宋_GB2312" w:cs="仿宋_GB2312"/>
          <w:lang w:val="en-US" w:eastAsia="zh-CN"/>
        </w:rPr>
        <w:t>当事人</w:t>
      </w:r>
      <w:r>
        <w:rPr>
          <w:rFonts w:hint="eastAsia" w:ascii="仿宋_GB2312" w:hAnsi="仿宋_GB2312" w:eastAsia="仿宋_GB2312" w:cs="仿宋_GB2312"/>
          <w:w w:val="99"/>
          <w:lang w:eastAsia="zh-CN"/>
        </w:rPr>
        <w:t>送达</w:t>
      </w:r>
      <w:r>
        <w:rPr>
          <w:rFonts w:hint="eastAsia" w:ascii="仿宋_GB2312" w:hAnsi="仿宋_GB2312" w:eastAsia="仿宋_GB2312" w:cs="仿宋_GB2312"/>
          <w:w w:val="99"/>
          <w:lang w:val="en-US" w:eastAsia="zh-CN"/>
        </w:rPr>
        <w:t>了</w:t>
      </w:r>
      <w:r>
        <w:rPr>
          <w:rFonts w:hint="eastAsia" w:ascii="仿宋_GB2312" w:hAnsi="仿宋_GB2312" w:eastAsia="仿宋_GB2312" w:cs="仿宋_GB2312"/>
          <w:w w:val="99"/>
          <w:lang w:eastAsia="zh-CN"/>
        </w:rPr>
        <w:t>《行政处罚告知书》（闽药监厦稽办罚告〔202</w:t>
      </w:r>
      <w:r>
        <w:rPr>
          <w:rFonts w:hint="eastAsia" w:ascii="仿宋_GB2312" w:hAnsi="仿宋_GB2312" w:eastAsia="仿宋_GB2312" w:cs="仿宋_GB2312"/>
          <w:w w:val="99"/>
          <w:lang w:val="en-US" w:eastAsia="zh-CN"/>
        </w:rPr>
        <w:t>6</w:t>
      </w:r>
      <w:r>
        <w:rPr>
          <w:rFonts w:hint="eastAsia" w:ascii="仿宋_GB2312" w:hAnsi="仿宋_GB2312" w:eastAsia="仿宋_GB2312" w:cs="仿宋_GB2312"/>
          <w:w w:val="99"/>
          <w:lang w:eastAsia="zh-CN"/>
        </w:rPr>
        <w:t>〕</w:t>
      </w:r>
      <w:r>
        <w:rPr>
          <w:rFonts w:hint="eastAsia" w:ascii="仿宋_GB2312" w:hAnsi="仿宋_GB2312" w:eastAsia="仿宋_GB2312" w:cs="仿宋_GB2312"/>
          <w:w w:val="99"/>
          <w:lang w:val="en-US" w:eastAsia="zh-CN"/>
        </w:rPr>
        <w:t>11</w:t>
      </w:r>
      <w:r>
        <w:rPr>
          <w:rFonts w:hint="eastAsia" w:ascii="仿宋_GB2312" w:hAnsi="仿宋_GB2312" w:eastAsia="仿宋_GB2312" w:cs="仿宋_GB2312"/>
          <w:w w:val="99"/>
          <w:lang w:eastAsia="zh-CN"/>
        </w:rPr>
        <w:t>号），告知当事人拟作出行政处罚内容以及事实、理由、依据，并告知其依法享有陈述权、申辩权的权利。在法定期限内，</w:t>
      </w:r>
      <w:r>
        <w:rPr>
          <w:rFonts w:hint="eastAsia" w:ascii="仿宋_GB2312" w:hAnsi="仿宋_GB2312" w:eastAsia="仿宋_GB2312" w:cs="仿宋_GB2312"/>
          <w:lang w:val="en-US" w:eastAsia="zh-CN"/>
        </w:rPr>
        <w:t>当事人</w:t>
      </w:r>
      <w:r>
        <w:rPr>
          <w:rFonts w:hint="eastAsia" w:ascii="仿宋_GB2312" w:hAnsi="仿宋_GB2312" w:eastAsia="仿宋_GB2312" w:cs="仿宋_GB2312"/>
          <w:w w:val="99"/>
          <w:lang w:eastAsia="zh-CN"/>
        </w:rPr>
        <w:t>未向我局提出陈述、申辩要求。</w:t>
      </w:r>
    </w:p>
    <w:p>
      <w:pPr>
        <w:keepNext w:val="0"/>
        <w:keepLines w:val="0"/>
        <w:pageBreakBefore w:val="0"/>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我局认为，</w:t>
      </w:r>
      <w:r>
        <w:rPr>
          <w:rFonts w:hint="eastAsia" w:ascii="仿宋_GB2312" w:hAnsi="仿宋_GB2312" w:eastAsia="仿宋_GB2312" w:cs="仿宋_GB2312"/>
          <w:sz w:val="32"/>
          <w:szCs w:val="32"/>
          <w:lang w:val="en-US" w:eastAsia="zh-CN"/>
        </w:rPr>
        <w:t>当事人</w:t>
      </w:r>
      <w:r>
        <w:rPr>
          <w:rFonts w:hint="eastAsia" w:ascii="仿宋_GB2312" w:hAnsi="仿宋_GB2312" w:eastAsia="仿宋_GB2312" w:cs="仿宋_GB2312"/>
          <w:sz w:val="32"/>
          <w:szCs w:val="32"/>
          <w:lang w:eastAsia="zh-CN"/>
        </w:rPr>
        <w:t>违反了《医疗器械监督管理条例》第三十五条第一款</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lang w:eastAsia="zh-CN"/>
        </w:rPr>
        <w:t>规定，构成了生产不符合经注册产品技术要求的</w:t>
      </w:r>
      <w:r>
        <w:rPr>
          <w:rFonts w:hint="eastAsia" w:ascii="仿宋_GB2312" w:hAnsi="仿宋_GB2312" w:eastAsia="仿宋_GB2312" w:cs="仿宋_GB2312"/>
          <w:kern w:val="0"/>
          <w:sz w:val="32"/>
          <w:szCs w:val="32"/>
          <w:u w:val="none"/>
          <w:lang w:val="en-US" w:eastAsia="zh-CN"/>
        </w:rPr>
        <w:t>医用透明质酸钠创面敷贴</w:t>
      </w:r>
      <w:r>
        <w:rPr>
          <w:rFonts w:hint="eastAsia" w:ascii="仿宋_GB2312" w:hAnsi="仿宋_GB2312" w:eastAsia="仿宋_GB2312" w:cs="仿宋_GB2312"/>
          <w:sz w:val="32"/>
          <w:szCs w:val="32"/>
          <w:lang w:eastAsia="zh-CN"/>
        </w:rPr>
        <w:t>的违法行为。</w:t>
      </w:r>
    </w:p>
    <w:p>
      <w:pPr>
        <w:pStyle w:val="6"/>
        <w:keepNext w:val="0"/>
        <w:keepLines w:val="0"/>
        <w:pageBreakBefore w:val="0"/>
        <w:widowControl/>
        <w:suppressLineNumbers w:val="0"/>
        <w:kinsoku/>
        <w:wordWrap/>
        <w:overflowPunct/>
        <w:topLinePunct w:val="0"/>
        <w:autoSpaceDE/>
        <w:autoSpaceDN/>
        <w:bidi w:val="0"/>
        <w:spacing w:line="54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在调查取证阶段，当事人系初次违法，积极配合调查，</w:t>
      </w:r>
      <w:r>
        <w:rPr>
          <w:rFonts w:hint="eastAsia" w:ascii="仿宋_GB2312" w:hAnsi="仿宋_GB2312" w:eastAsia="仿宋_GB2312" w:cs="仿宋_GB2312"/>
          <w:sz w:val="32"/>
          <w:szCs w:val="32"/>
          <w:lang w:eastAsia="zh-CN"/>
        </w:rPr>
        <w:t>涉案产品尚未销售</w:t>
      </w:r>
      <w:r>
        <w:rPr>
          <w:rFonts w:hint="eastAsia" w:ascii="仿宋_GB2312" w:hAnsi="仿宋_GB2312" w:eastAsia="仿宋_GB2312" w:cs="仿宋_GB2312"/>
          <w:color w:val="auto"/>
          <w:sz w:val="32"/>
          <w:szCs w:val="32"/>
          <w:u w:val="none"/>
          <w:lang w:val="en-US" w:eastAsia="zh-CN"/>
        </w:rPr>
        <w:t>等，符合《福建省药品监管行政处罚裁量适用细则》第十一条第一款第二项、第三项、第七项的规定，可以从轻或者减轻行政处罚。鉴于当事人无从重行政处罚或情节严重的情形，结合案件情况综合考量，我局决定按从轻行政处罚等级进行量罚。参照《福建省医疗器械行政处罚裁量基准（试行）》QX-11的规定，因涉案批次医用透明质酸钠创面敷贴货值金额为731元，不足1万元，即处罚款20000元。</w:t>
      </w:r>
    </w:p>
    <w:p>
      <w:pPr>
        <w:pStyle w:val="6"/>
        <w:keepNext w:val="0"/>
        <w:keepLines w:val="0"/>
        <w:pageBreakBefore w:val="0"/>
        <w:widowControl/>
        <w:suppressLineNumbers w:val="0"/>
        <w:kinsoku/>
        <w:wordWrap/>
        <w:overflowPunct/>
        <w:topLinePunct w:val="0"/>
        <w:autoSpaceDE/>
        <w:autoSpaceDN/>
        <w:bidi w:val="0"/>
        <w:spacing w:line="540" w:lineRule="exact"/>
        <w:ind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依据《医疗器械监督管理条例》第八十六条第一项的规定，现责令当事人改正上述违法行为，并</w:t>
      </w:r>
      <w:bookmarkStart w:id="0" w:name="_Hlk18882991"/>
      <w:r>
        <w:rPr>
          <w:rFonts w:hint="eastAsia" w:ascii="仿宋_GB2312" w:hAnsi="仿宋_GB2312" w:eastAsia="仿宋_GB2312" w:cs="仿宋_GB2312"/>
          <w:color w:val="auto"/>
          <w:sz w:val="32"/>
          <w:szCs w:val="32"/>
          <w:u w:val="none"/>
          <w:lang w:val="en-US" w:eastAsia="zh-CN"/>
        </w:rPr>
        <w:t>决定处罚款20000元整（贰万元整）</w:t>
      </w:r>
      <w:bookmarkEnd w:id="0"/>
      <w:r>
        <w:rPr>
          <w:rFonts w:hint="eastAsia" w:ascii="仿宋_GB2312" w:hAnsi="仿宋_GB2312" w:eastAsia="仿宋_GB2312" w:cs="仿宋_GB2312"/>
          <w:color w:val="auto"/>
          <w:sz w:val="32"/>
          <w:szCs w:val="32"/>
          <w:u w:val="none"/>
          <w:lang w:val="en-US" w:eastAsia="zh-CN"/>
        </w:rPr>
        <w:t>。</w:t>
      </w:r>
    </w:p>
    <w:p>
      <w:pPr>
        <w:keepNext w:val="0"/>
        <w:keepLines w:val="0"/>
        <w:pageBreakBefore w:val="0"/>
        <w:kinsoku/>
        <w:wordWrap/>
        <w:overflowPunct/>
        <w:topLinePunct w:val="0"/>
        <w:autoSpaceDE/>
        <w:autoSpaceDN/>
        <w:bidi w:val="0"/>
        <w:snapToGrid w:val="0"/>
        <w:spacing w:line="540" w:lineRule="exact"/>
        <w:ind w:firstLine="640" w:firstLineChars="200"/>
        <w:textAlignment w:val="auto"/>
        <w:rPr>
          <w:rFonts w:hint="eastAsia" w:ascii="仿宋_GB2312" w:hAnsi="仿宋_GB2312" w:eastAsia="仿宋_GB2312" w:cs="仿宋_GB2312"/>
          <w:kern w:val="1"/>
          <w:sz w:val="32"/>
          <w:szCs w:val="32"/>
        </w:rPr>
      </w:pPr>
      <w:r>
        <w:rPr>
          <w:rFonts w:hint="eastAsia" w:ascii="仿宋_GB2312" w:hAnsi="仿宋_GB2312" w:eastAsia="仿宋_GB2312" w:cs="仿宋_GB2312"/>
          <w:kern w:val="1"/>
          <w:sz w:val="32"/>
          <w:szCs w:val="32"/>
        </w:rPr>
        <w:t>当事人应自接到本行政处罚决定之日起15日内缴纳上述罚没款。根据我</w:t>
      </w:r>
      <w:r>
        <w:rPr>
          <w:rFonts w:hint="eastAsia" w:ascii="仿宋_GB2312" w:hAnsi="仿宋_GB2312" w:eastAsia="仿宋_GB2312" w:cs="仿宋_GB2312"/>
          <w:kern w:val="1"/>
          <w:sz w:val="32"/>
          <w:szCs w:val="32"/>
          <w:lang w:eastAsia="zh-CN"/>
        </w:rPr>
        <w:t>局</w:t>
      </w:r>
      <w:r>
        <w:rPr>
          <w:rFonts w:hint="eastAsia" w:ascii="仿宋_GB2312" w:hAnsi="仿宋_GB2312" w:eastAsia="仿宋_GB2312" w:cs="仿宋_GB2312"/>
          <w:kern w:val="1"/>
          <w:sz w:val="32"/>
          <w:szCs w:val="32"/>
        </w:rPr>
        <w:t>开具的行政处罚缴款通知书，当事人自行选择缴款方式。逾期不缴纳罚款的，依据《中华人民共和国行政处罚法》第七十二条的规定，我</w:t>
      </w:r>
      <w:r>
        <w:rPr>
          <w:rFonts w:hint="eastAsia" w:ascii="仿宋_GB2312" w:hAnsi="仿宋_GB2312" w:eastAsia="仿宋_GB2312" w:cs="仿宋_GB2312"/>
          <w:kern w:val="1"/>
          <w:sz w:val="32"/>
          <w:szCs w:val="32"/>
          <w:lang w:eastAsia="zh-CN"/>
        </w:rPr>
        <w:t>局</w:t>
      </w:r>
      <w:r>
        <w:rPr>
          <w:rFonts w:hint="eastAsia" w:ascii="仿宋_GB2312" w:hAnsi="仿宋_GB2312" w:eastAsia="仿宋_GB2312" w:cs="仿宋_GB2312"/>
          <w:kern w:val="1"/>
          <w:sz w:val="32"/>
          <w:szCs w:val="32"/>
        </w:rPr>
        <w:t xml:space="preserve">将每日按罚款数额的百分之三加处罚款，并依法申请人民法院强制执行。 </w:t>
      </w:r>
    </w:p>
    <w:p>
      <w:pPr>
        <w:keepNext w:val="0"/>
        <w:keepLines w:val="0"/>
        <w:pageBreakBefore w:val="0"/>
        <w:kinsoku/>
        <w:wordWrap/>
        <w:overflowPunct/>
        <w:topLinePunct w:val="0"/>
        <w:autoSpaceDE/>
        <w:autoSpaceDN/>
        <w:bidi w:val="0"/>
        <w:snapToGrid w:val="0"/>
        <w:spacing w:line="54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当事人如不服本行政处罚决定，可以在收到本行政处罚决定书之日起六十日内向福建省人民政府申请行政复议；也可以在六个月内依法向</w:t>
      </w:r>
      <w:r>
        <w:rPr>
          <w:rFonts w:hint="eastAsia" w:ascii="仿宋_GB2312" w:hAnsi="仿宋_GB2312" w:eastAsia="仿宋_GB2312" w:cs="仿宋_GB2312"/>
          <w:color w:val="000000"/>
          <w:sz w:val="32"/>
          <w:szCs w:val="32"/>
          <w:lang w:eastAsia="zh-CN"/>
        </w:rPr>
        <w:t>福州市鼓楼区</w:t>
      </w:r>
      <w:r>
        <w:rPr>
          <w:rFonts w:hint="eastAsia" w:ascii="仿宋_GB2312" w:hAnsi="仿宋_GB2312" w:eastAsia="仿宋_GB2312" w:cs="仿宋_GB2312"/>
          <w:color w:val="000000"/>
          <w:sz w:val="32"/>
          <w:szCs w:val="32"/>
        </w:rPr>
        <w:t>人民法院提起行政诉讼。申请行政复议或者提起行政诉讼期间，行政处罚不停止执行。</w:t>
      </w:r>
    </w:p>
    <w:p>
      <w:pPr>
        <w:keepNext w:val="0"/>
        <w:keepLines w:val="0"/>
        <w:pageBreakBefore w:val="0"/>
        <w:kinsoku/>
        <w:wordWrap/>
        <w:overflowPunct/>
        <w:topLinePunct w:val="0"/>
        <w:autoSpaceDE/>
        <w:autoSpaceDN/>
        <w:bidi w:val="0"/>
        <w:snapToGrid w:val="0"/>
        <w:spacing w:line="540" w:lineRule="exact"/>
        <w:ind w:firstLine="640" w:firstLineChars="200"/>
        <w:textAlignment w:val="auto"/>
        <w:rPr>
          <w:rFonts w:hint="eastAsia" w:ascii="仿宋_GB2312" w:hAnsi="仿宋_GB2312" w:eastAsia="仿宋_GB2312" w:cs="仿宋_GB2312"/>
          <w:color w:val="000000"/>
          <w:sz w:val="32"/>
          <w:szCs w:val="32"/>
        </w:rPr>
      </w:pPr>
    </w:p>
    <w:p>
      <w:pPr>
        <w:keepNext w:val="0"/>
        <w:keepLines w:val="0"/>
        <w:pageBreakBefore w:val="0"/>
        <w:kinsoku/>
        <w:wordWrap/>
        <w:overflowPunct/>
        <w:topLinePunct w:val="0"/>
        <w:autoSpaceDE/>
        <w:autoSpaceDN/>
        <w:bidi w:val="0"/>
        <w:snapToGrid w:val="0"/>
        <w:spacing w:line="540" w:lineRule="exact"/>
        <w:ind w:firstLine="640" w:firstLineChars="200"/>
        <w:textAlignment w:val="auto"/>
        <w:rPr>
          <w:rFonts w:hint="eastAsia" w:ascii="仿宋_GB2312" w:hAnsi="仿宋_GB2312" w:eastAsia="仿宋_GB2312" w:cs="仿宋_GB2312"/>
          <w:color w:val="000000"/>
          <w:sz w:val="32"/>
          <w:szCs w:val="32"/>
        </w:rPr>
      </w:pPr>
    </w:p>
    <w:p>
      <w:pPr>
        <w:keepNext w:val="0"/>
        <w:keepLines w:val="0"/>
        <w:pageBreakBefore w:val="0"/>
        <w:kinsoku/>
        <w:wordWrap/>
        <w:overflowPunct/>
        <w:topLinePunct w:val="0"/>
        <w:autoSpaceDE/>
        <w:autoSpaceDN/>
        <w:bidi w:val="0"/>
        <w:adjustRightInd w:val="0"/>
        <w:snapToGrid w:val="0"/>
        <w:spacing w:line="540" w:lineRule="exact"/>
        <w:ind w:left="4453" w:leftChars="1816" w:hanging="640" w:hanging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福建省药品监督管理局</w:t>
      </w:r>
    </w:p>
    <w:p>
      <w:pPr>
        <w:keepNext w:val="0"/>
        <w:keepLines w:val="0"/>
        <w:pageBreakBefore w:val="0"/>
        <w:kinsoku/>
        <w:wordWrap/>
        <w:overflowPunct/>
        <w:topLinePunct w:val="0"/>
        <w:autoSpaceDE/>
        <w:autoSpaceDN/>
        <w:bidi w:val="0"/>
        <w:adjustRightInd w:val="0"/>
        <w:snapToGrid w:val="0"/>
        <w:spacing w:line="540" w:lineRule="exact"/>
        <w:ind w:left="4453" w:leftChars="1968" w:hanging="320" w:hangingChars="100"/>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16 </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p>
    <w:p>
      <w:pPr>
        <w:keepNext w:val="0"/>
        <w:keepLines w:val="0"/>
        <w:pageBreakBefore w:val="0"/>
        <w:kinsoku/>
        <w:wordWrap/>
        <w:overflowPunct/>
        <w:topLinePunct w:val="0"/>
        <w:autoSpaceDE/>
        <w:autoSpaceDN/>
        <w:bidi w:val="0"/>
        <w:adjustRightInd w:val="0"/>
        <w:snapToGrid w:val="0"/>
        <w:spacing w:line="54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pPr>
        <w:keepNext w:val="0"/>
        <w:keepLines w:val="0"/>
        <w:pageBreakBefore w:val="0"/>
        <w:kinsoku/>
        <w:wordWrap/>
        <w:overflowPunct/>
        <w:topLinePunct w:val="0"/>
        <w:autoSpaceDE/>
        <w:autoSpaceDN/>
        <w:bidi w:val="0"/>
        <w:adjustRightInd w:val="0"/>
        <w:snapToGrid w:val="0"/>
        <w:spacing w:line="540" w:lineRule="exact"/>
        <w:textAlignment w:val="auto"/>
        <w:rPr>
          <w:rFonts w:hint="eastAsia" w:ascii="仿宋" w:hAnsi="仿宋" w:eastAsia="仿宋" w:cs="仿宋"/>
          <w:sz w:val="32"/>
          <w:szCs w:val="32"/>
          <w:lang w:val="en-US" w:eastAsia="zh-CN"/>
        </w:rPr>
      </w:pPr>
    </w:p>
    <w:p>
      <w:pPr>
        <w:keepNext w:val="0"/>
        <w:keepLines w:val="0"/>
        <w:pageBreakBefore w:val="0"/>
        <w:kinsoku/>
        <w:wordWrap/>
        <w:overflowPunct/>
        <w:topLinePunct w:val="0"/>
        <w:autoSpaceDE/>
        <w:autoSpaceDN/>
        <w:bidi w:val="0"/>
        <w:adjustRightInd w:val="0"/>
        <w:snapToGrid w:val="0"/>
        <w:spacing w:line="540" w:lineRule="exact"/>
        <w:textAlignment w:val="auto"/>
        <w:rPr>
          <w:rFonts w:ascii="仿宋" w:hAnsi="仿宋" w:eastAsia="仿宋" w:cs="仿宋"/>
          <w:kern w:val="0"/>
          <w:sz w:val="30"/>
          <w:szCs w:val="30"/>
        </w:rPr>
      </w:pPr>
      <w:r>
        <w:rPr>
          <w:rFonts w:hint="eastAsia" w:ascii="黑体" w:hAnsi="黑体" w:eastAsia="黑体" w:cs="黑体"/>
          <w:kern w:val="0"/>
          <w:sz w:val="30"/>
          <w:szCs w:val="30"/>
        </w:rPr>
        <w:t>(药品监督管理部门将依法向社会公示本行政处罚决定信息)</w:t>
      </w:r>
    </w:p>
    <w:p>
      <w:pPr>
        <w:keepNext w:val="0"/>
        <w:keepLines w:val="0"/>
        <w:pageBreakBefore w:val="0"/>
        <w:kinsoku/>
        <w:wordWrap/>
        <w:overflowPunct/>
        <w:topLinePunct w:val="0"/>
        <w:autoSpaceDE/>
        <w:autoSpaceDN/>
        <w:bidi w:val="0"/>
        <w:spacing w:line="540" w:lineRule="exact"/>
        <w:textAlignment w:val="auto"/>
        <w:rPr>
          <w:rFonts w:ascii="华文仿宋" w:hAnsi="华文仿宋" w:eastAsia="华文仿宋"/>
          <w:kern w:val="0"/>
          <w:sz w:val="32"/>
          <w:szCs w:val="32"/>
        </w:rPr>
      </w:pPr>
      <w:r>
        <w:rPr>
          <w:kern w:val="0"/>
          <w:sz w:val="32"/>
          <w:szCs w:val="22"/>
        </w:rPr>
        <mc:AlternateContent>
          <mc:Choice Requires="wps">
            <w:drawing>
              <wp:anchor distT="0" distB="0" distL="114300" distR="114300" simplePos="0" relativeHeight="251660288" behindDoc="0" locked="0" layoutInCell="1" allowOverlap="1">
                <wp:simplePos x="0" y="0"/>
                <wp:positionH relativeFrom="column">
                  <wp:posOffset>-53975</wp:posOffset>
                </wp:positionH>
                <wp:positionV relativeFrom="paragraph">
                  <wp:posOffset>29210</wp:posOffset>
                </wp:positionV>
                <wp:extent cx="5681345" cy="8890"/>
                <wp:effectExtent l="0" t="0" r="0" b="0"/>
                <wp:wrapNone/>
                <wp:docPr id="2" name="直接连接符 2"/>
                <wp:cNvGraphicFramePr/>
                <a:graphic xmlns:a="http://schemas.openxmlformats.org/drawingml/2006/main">
                  <a:graphicData uri="http://schemas.microsoft.com/office/word/2010/wordprocessingShape">
                    <wps:wsp>
                      <wps:cNvCnPr/>
                      <wps:spPr>
                        <a:xfrm flipV="1">
                          <a:off x="1097280" y="7673340"/>
                          <a:ext cx="5681345" cy="889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flip:y;margin-left:-4.25pt;margin-top:2.3pt;height:0.7pt;width:447.35pt;z-index:251660288;mso-width-relative:page;mso-height-relative:page;" filled="f" stroked="t" coordsize="21600,21600" o:gfxdata="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BP11OG&#10;1QAAAAYBAAAPAAAAAAAAAAEAIAAAADgAAABkcnMvZG93bnJldi54bWxQSwECFAAUAAAACACHTuJA&#10;UmXoQg4CAADtAwAADgAAAAAAAAABACAAAAA6AQAAZHJzL2Uyb0RvYy54bWxQSwUGAAAAAAYABgBZ&#10;AQAAugUAAAAA&#10;">
                <v:fill on="f" focussize="0,0"/>
                <v:stroke weight="1.5pt" color="#000000" miterlimit="8" joinstyle="miter"/>
                <v:imagedata o:title=""/>
                <o:lock v:ext="edit" aspectratio="f"/>
              </v:line>
            </w:pict>
          </mc:Fallback>
        </mc:AlternateContent>
      </w:r>
      <w:r>
        <w:rPr>
          <w:rFonts w:ascii="Times New Roman" w:hAnsi="Times New Roman" w:eastAsia="仿宋_GB2312" w:cs="仿宋"/>
          <w:bCs/>
          <w:color w:val="000000"/>
          <w:kern w:val="0"/>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Ivv85HXAAAACgEAAA8AAAAAAAAAAQAgAAAA&#10;OAAAAGRycy9kb3ducmV2LnhtbFBLAQIUABQAAAAIAIdO4kDIIdYO9gEAAOkDAAAOAAAAAAAAAAEA&#10;IAAAADwBAABkcnMvZTJvRG9jLnhtbFBLBQYAAAAABgAGAFkBAACk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kern w:val="0"/>
          <w:sz w:val="32"/>
          <w:szCs w:val="32"/>
        </w:rPr>
        <w:t>本文书一式</w:t>
      </w:r>
      <w:r>
        <w:rPr>
          <w:rFonts w:hint="eastAsia" w:ascii="Times New Roman" w:hAnsi="Times New Roman" w:eastAsia="仿宋_GB2312" w:cs="仿宋"/>
          <w:color w:val="000000"/>
          <w:kern w:val="0"/>
          <w:sz w:val="32"/>
          <w:szCs w:val="32"/>
          <w:u w:val="single"/>
        </w:rPr>
        <w:t xml:space="preserve"> 二 </w:t>
      </w:r>
      <w:r>
        <w:rPr>
          <w:rFonts w:hint="eastAsia" w:ascii="Times New Roman" w:hAnsi="Times New Roman" w:eastAsia="仿宋_GB2312" w:cs="仿宋"/>
          <w:color w:val="000000"/>
          <w:kern w:val="0"/>
          <w:sz w:val="32"/>
          <w:szCs w:val="32"/>
        </w:rPr>
        <w:t>份，</w:t>
      </w:r>
      <w:r>
        <w:rPr>
          <w:rFonts w:hint="eastAsia" w:ascii="Times New Roman" w:hAnsi="Times New Roman" w:eastAsia="仿宋_GB2312" w:cs="仿宋"/>
          <w:color w:val="000000"/>
          <w:kern w:val="0"/>
          <w:sz w:val="32"/>
          <w:szCs w:val="32"/>
          <w:u w:val="single"/>
        </w:rPr>
        <w:t>一</w:t>
      </w:r>
      <w:r>
        <w:rPr>
          <w:rFonts w:hint="eastAsia" w:ascii="Times New Roman" w:hAnsi="Times New Roman" w:eastAsia="仿宋_GB2312" w:cs="仿宋"/>
          <w:color w:val="000000"/>
          <w:kern w:val="0"/>
          <w:sz w:val="32"/>
          <w:szCs w:val="32"/>
        </w:rPr>
        <w:t>份送达，</w:t>
      </w:r>
      <w:r>
        <w:rPr>
          <w:rFonts w:hint="eastAsia" w:ascii="Times New Roman" w:hAnsi="Times New Roman" w:eastAsia="仿宋_GB2312" w:cs="仿宋"/>
          <w:color w:val="000000"/>
          <w:kern w:val="0"/>
          <w:sz w:val="32"/>
          <w:szCs w:val="32"/>
          <w:u w:val="single"/>
        </w:rPr>
        <w:t>一</w:t>
      </w:r>
      <w:r>
        <w:rPr>
          <w:rFonts w:hint="eastAsia" w:ascii="Times New Roman" w:hAnsi="Times New Roman" w:eastAsia="仿宋_GB2312" w:cs="仿宋"/>
          <w:color w:val="000000"/>
          <w:kern w:val="0"/>
          <w:sz w:val="32"/>
          <w:szCs w:val="32"/>
        </w:rPr>
        <w:t>份归档。</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Mangal">
    <w:altName w:val="DejaVu Math TeX Gyre"/>
    <w:panose1 w:val="02040503050203030202"/>
    <w:charset w:val="01"/>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方正小标宋简体">
    <w:panose1 w:val="02000000000000000000"/>
    <w:charset w:val="86"/>
    <w:family w:val="script"/>
    <w:pitch w:val="default"/>
    <w:sig w:usb0="A00002BF" w:usb1="184F6CFA" w:usb2="00000012"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仿宋">
    <w:altName w:val="方正仿宋_GBK"/>
    <w:panose1 w:val="02010600040101010101"/>
    <w:charset w:val="86"/>
    <w:family w:val="auto"/>
    <w:pitch w:val="default"/>
    <w:sig w:usb0="00000000" w:usb1="00000000" w:usb2="00000000" w:usb3="00000000" w:csb0="0004009F" w:csb1="DFD70000"/>
  </w:font>
  <w:font w:name="MT Extra">
    <w:panose1 w:val="020006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ascii="楷体" w:hAnsi="楷体" w:eastAsia="楷体" w:cs="楷体"/>
                              <w:sz w:val="24"/>
                              <w:szCs w:val="24"/>
                            </w:rPr>
                          </w:pPr>
                          <w:r>
                            <w:rPr>
                              <w:rFonts w:hint="eastAsia" w:ascii="楷体" w:hAnsi="楷体" w:eastAsia="楷体" w:cs="楷体"/>
                              <w:sz w:val="24"/>
                              <w:szCs w:val="24"/>
                            </w:rPr>
                            <w:t xml:space="preserve">第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  \* MERGEFORMAT </w:instrText>
                          </w:r>
                          <w:r>
                            <w:rPr>
                              <w:rFonts w:hint="eastAsia" w:ascii="楷体" w:hAnsi="楷体" w:eastAsia="楷体" w:cs="楷体"/>
                              <w:sz w:val="24"/>
                              <w:szCs w:val="24"/>
                            </w:rPr>
                            <w:fldChar w:fldCharType="separate"/>
                          </w:r>
                          <w:r>
                            <w:rPr>
                              <w:rFonts w:ascii="楷体" w:hAnsi="楷体" w:eastAsia="楷体" w:cs="楷体"/>
                              <w:sz w:val="24"/>
                              <w:szCs w:val="24"/>
                            </w:rPr>
                            <w:t>4</w:t>
                          </w:r>
                          <w:r>
                            <w:rPr>
                              <w:rFonts w:hint="eastAsia" w:ascii="楷体" w:hAnsi="楷体" w:eastAsia="楷体" w:cs="楷体"/>
                              <w:sz w:val="24"/>
                              <w:szCs w:val="24"/>
                            </w:rPr>
                            <w:fldChar w:fldCharType="end"/>
                          </w:r>
                          <w:r>
                            <w:rPr>
                              <w:rFonts w:hint="eastAsia" w:ascii="楷体" w:hAnsi="楷体" w:eastAsia="楷体" w:cs="楷体"/>
                              <w:sz w:val="24"/>
                              <w:szCs w:val="24"/>
                            </w:rPr>
                            <w:t xml:space="preserve"> 页 共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NUMPAGES  \* MERGEFORMAT </w:instrText>
                          </w:r>
                          <w:r>
                            <w:rPr>
                              <w:rFonts w:hint="eastAsia" w:ascii="楷体" w:hAnsi="楷体" w:eastAsia="楷体" w:cs="楷体"/>
                              <w:sz w:val="24"/>
                              <w:szCs w:val="24"/>
                            </w:rPr>
                            <w:fldChar w:fldCharType="separate"/>
                          </w:r>
                          <w:r>
                            <w:rPr>
                              <w:rFonts w:ascii="楷体" w:hAnsi="楷体" w:eastAsia="楷体" w:cs="楷体"/>
                              <w:sz w:val="24"/>
                              <w:szCs w:val="24"/>
                            </w:rPr>
                            <w:t>5</w:t>
                          </w:r>
                          <w:r>
                            <w:rPr>
                              <w:rFonts w:hint="eastAsia" w:ascii="楷体" w:hAnsi="楷体" w:eastAsia="楷体" w:cs="楷体"/>
                              <w:sz w:val="24"/>
                              <w:szCs w:val="24"/>
                            </w:rPr>
                            <w:fldChar w:fldCharType="end"/>
                          </w:r>
                          <w:r>
                            <w:rPr>
                              <w:rFonts w:hint="eastAsia" w:ascii="楷体" w:hAnsi="楷体" w:eastAsia="楷体" w:cs="楷体"/>
                              <w:sz w:val="24"/>
                              <w:szCs w:val="24"/>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4"/>
                      <w:rPr>
                        <w:rFonts w:ascii="楷体" w:hAnsi="楷体" w:eastAsia="楷体" w:cs="楷体"/>
                        <w:sz w:val="24"/>
                        <w:szCs w:val="24"/>
                      </w:rPr>
                    </w:pPr>
                    <w:r>
                      <w:rPr>
                        <w:rFonts w:hint="eastAsia" w:ascii="楷体" w:hAnsi="楷体" w:eastAsia="楷体" w:cs="楷体"/>
                        <w:sz w:val="24"/>
                        <w:szCs w:val="24"/>
                      </w:rPr>
                      <w:t xml:space="preserve">第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PAGE  \* MERGEFORMAT </w:instrText>
                    </w:r>
                    <w:r>
                      <w:rPr>
                        <w:rFonts w:hint="eastAsia" w:ascii="楷体" w:hAnsi="楷体" w:eastAsia="楷体" w:cs="楷体"/>
                        <w:sz w:val="24"/>
                        <w:szCs w:val="24"/>
                      </w:rPr>
                      <w:fldChar w:fldCharType="separate"/>
                    </w:r>
                    <w:r>
                      <w:rPr>
                        <w:rFonts w:ascii="楷体" w:hAnsi="楷体" w:eastAsia="楷体" w:cs="楷体"/>
                        <w:sz w:val="24"/>
                        <w:szCs w:val="24"/>
                      </w:rPr>
                      <w:t>4</w:t>
                    </w:r>
                    <w:r>
                      <w:rPr>
                        <w:rFonts w:hint="eastAsia" w:ascii="楷体" w:hAnsi="楷体" w:eastAsia="楷体" w:cs="楷体"/>
                        <w:sz w:val="24"/>
                        <w:szCs w:val="24"/>
                      </w:rPr>
                      <w:fldChar w:fldCharType="end"/>
                    </w:r>
                    <w:r>
                      <w:rPr>
                        <w:rFonts w:hint="eastAsia" w:ascii="楷体" w:hAnsi="楷体" w:eastAsia="楷体" w:cs="楷体"/>
                        <w:sz w:val="24"/>
                        <w:szCs w:val="24"/>
                      </w:rPr>
                      <w:t xml:space="preserve"> 页 共 </w:t>
                    </w:r>
                    <w:r>
                      <w:rPr>
                        <w:rFonts w:hint="eastAsia" w:ascii="楷体" w:hAnsi="楷体" w:eastAsia="楷体" w:cs="楷体"/>
                        <w:sz w:val="24"/>
                        <w:szCs w:val="24"/>
                      </w:rPr>
                      <w:fldChar w:fldCharType="begin"/>
                    </w:r>
                    <w:r>
                      <w:rPr>
                        <w:rFonts w:hint="eastAsia" w:ascii="楷体" w:hAnsi="楷体" w:eastAsia="楷体" w:cs="楷体"/>
                        <w:sz w:val="24"/>
                        <w:szCs w:val="24"/>
                      </w:rPr>
                      <w:instrText xml:space="preserve"> NUMPAGES  \* MERGEFORMAT </w:instrText>
                    </w:r>
                    <w:r>
                      <w:rPr>
                        <w:rFonts w:hint="eastAsia" w:ascii="楷体" w:hAnsi="楷体" w:eastAsia="楷体" w:cs="楷体"/>
                        <w:sz w:val="24"/>
                        <w:szCs w:val="24"/>
                      </w:rPr>
                      <w:fldChar w:fldCharType="separate"/>
                    </w:r>
                    <w:r>
                      <w:rPr>
                        <w:rFonts w:ascii="楷体" w:hAnsi="楷体" w:eastAsia="楷体" w:cs="楷体"/>
                        <w:sz w:val="24"/>
                        <w:szCs w:val="24"/>
                      </w:rPr>
                      <w:t>5</w:t>
                    </w:r>
                    <w:r>
                      <w:rPr>
                        <w:rFonts w:hint="eastAsia" w:ascii="楷体" w:hAnsi="楷体" w:eastAsia="楷体" w:cs="楷体"/>
                        <w:sz w:val="24"/>
                        <w:szCs w:val="24"/>
                      </w:rPr>
                      <w:fldChar w:fldCharType="end"/>
                    </w:r>
                    <w:r>
                      <w:rPr>
                        <w:rFonts w:hint="eastAsia" w:ascii="楷体" w:hAnsi="楷体" w:eastAsia="楷体" w:cs="楷体"/>
                        <w:sz w:val="24"/>
                        <w:szCs w:val="24"/>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2E5AF2"/>
    <w:multiLevelType w:val="multilevel"/>
    <w:tmpl w:val="052E5AF2"/>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kzNzI1NDdjNTYzNzdhYjYwNTg3Zjk2YzQ1ZTMzZGMifQ=="/>
  </w:docVars>
  <w:rsids>
    <w:rsidRoot w:val="0002063B"/>
    <w:rsid w:val="0002063B"/>
    <w:rsid w:val="00097132"/>
    <w:rsid w:val="000B736D"/>
    <w:rsid w:val="001C7F82"/>
    <w:rsid w:val="00264DC4"/>
    <w:rsid w:val="004018FE"/>
    <w:rsid w:val="00451A1C"/>
    <w:rsid w:val="0051340F"/>
    <w:rsid w:val="00514BBF"/>
    <w:rsid w:val="005A545E"/>
    <w:rsid w:val="005D23BD"/>
    <w:rsid w:val="005F33B0"/>
    <w:rsid w:val="00614906"/>
    <w:rsid w:val="006313F9"/>
    <w:rsid w:val="00652143"/>
    <w:rsid w:val="0071511F"/>
    <w:rsid w:val="00754926"/>
    <w:rsid w:val="00790DEA"/>
    <w:rsid w:val="007D22F2"/>
    <w:rsid w:val="007F0305"/>
    <w:rsid w:val="008B2664"/>
    <w:rsid w:val="008E6D45"/>
    <w:rsid w:val="0092727E"/>
    <w:rsid w:val="00971BBF"/>
    <w:rsid w:val="009A551C"/>
    <w:rsid w:val="009B1D01"/>
    <w:rsid w:val="00A04786"/>
    <w:rsid w:val="00A309FE"/>
    <w:rsid w:val="00AD06FB"/>
    <w:rsid w:val="00C01643"/>
    <w:rsid w:val="00C2787F"/>
    <w:rsid w:val="00C33120"/>
    <w:rsid w:val="00C87535"/>
    <w:rsid w:val="00EB6CC0"/>
    <w:rsid w:val="00FA71EB"/>
    <w:rsid w:val="02BA5420"/>
    <w:rsid w:val="2D8C30C0"/>
    <w:rsid w:val="2F134350"/>
    <w:rsid w:val="2F7F31B8"/>
    <w:rsid w:val="300E5559"/>
    <w:rsid w:val="33FA66D9"/>
    <w:rsid w:val="36B260C9"/>
    <w:rsid w:val="38741F0E"/>
    <w:rsid w:val="38C210B2"/>
    <w:rsid w:val="39393B75"/>
    <w:rsid w:val="3EED471C"/>
    <w:rsid w:val="4BAF5BE4"/>
    <w:rsid w:val="59820767"/>
    <w:rsid w:val="5CAF070E"/>
    <w:rsid w:val="5FF3D84E"/>
    <w:rsid w:val="64454CD9"/>
    <w:rsid w:val="6BFFAF98"/>
    <w:rsid w:val="6DF4F3FD"/>
    <w:rsid w:val="6E837EF4"/>
    <w:rsid w:val="6E9688C3"/>
    <w:rsid w:val="71221260"/>
    <w:rsid w:val="7E3BB5BB"/>
    <w:rsid w:val="B7EDFFE5"/>
    <w:rsid w:val="EB1DB949"/>
    <w:rsid w:val="FF9C0A30"/>
    <w:rsid w:val="FFFF75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2"/>
    <w:qFormat/>
    <w:uiPriority w:val="0"/>
    <w:pPr>
      <w:ind w:left="220"/>
      <w:jc w:val="left"/>
    </w:pPr>
    <w:rPr>
      <w:rFonts w:ascii="宋体" w:hAnsi="宋体"/>
      <w:kern w:val="0"/>
      <w:sz w:val="32"/>
      <w:szCs w:val="32"/>
      <w:lang w:eastAsia="en-US"/>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character" w:customStyle="1" w:styleId="11">
    <w:name w:val="标题 1 字符"/>
    <w:basedOn w:val="8"/>
    <w:link w:val="2"/>
    <w:qFormat/>
    <w:uiPriority w:val="0"/>
    <w:rPr>
      <w:rFonts w:ascii="Times New Roman" w:hAnsi="Times New Roman" w:eastAsia="宋体" w:cs="Mangal"/>
      <w:color w:val="00000A"/>
      <w:sz w:val="24"/>
      <w:szCs w:val="24"/>
      <w:lang w:val="zh-CN" w:bidi="hi-IN"/>
    </w:rPr>
  </w:style>
  <w:style w:type="character" w:customStyle="1" w:styleId="12">
    <w:name w:val="正文文本 字符"/>
    <w:basedOn w:val="8"/>
    <w:link w:val="3"/>
    <w:qFormat/>
    <w:uiPriority w:val="0"/>
    <w:rPr>
      <w:rFonts w:ascii="宋体" w:hAnsi="宋体" w:eastAsia="宋体" w:cs="Times New Roman"/>
      <w:kern w:val="0"/>
      <w:sz w:val="32"/>
      <w:szCs w:val="32"/>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5</Pages>
  <Words>2340</Words>
  <Characters>2533</Characters>
  <Lines>22</Lines>
  <Paragraphs>6</Paragraphs>
  <TotalTime>3</TotalTime>
  <ScaleCrop>false</ScaleCrop>
  <LinksUpToDate>false</LinksUpToDate>
  <CharactersWithSpaces>2547</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2022-12-29T00:41:00Z</dcterms:created>
  <dc:creator>wang lichao</dc:creator>
  <cp:lastModifiedBy>詹杜清</cp:lastModifiedBy>
  <cp:lastPrinted>2022-12-31T09:09:00Z</cp:lastPrinted>
  <dcterms:modified xsi:type="dcterms:W3CDTF">2026-10-26T15:17:50Z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39AB4ABEC45E43E8A170562A9FCA3BE7_13</vt:lpwstr>
  </property>
  <property fmtid="{D5CDD505-2E9C-101B-9397-08002B2CF9AE}" pid="4" name="KSOTemplateDocerSaveRecord">
    <vt:lpwstr>eyJoZGlkIjoiOGUxYmY2ZGZiZWM0NzhkOGU3NmIzNTU0YTYxOWQyMWYiLCJ1c2VySWQiOiIxNDU0Mjk3MjIzIn0=</vt:lpwstr>
  </property>
</Properties>
</file>