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6F66B">
      <w:pPr>
        <w:pStyle w:val="2"/>
        <w:keepLines w:val="0"/>
        <w:pageBreakBefore w:val="0"/>
        <w:tabs>
          <w:tab w:val="left" w:pos="1259"/>
        </w:tabs>
        <w:kinsoku/>
        <w:wordWrap/>
        <w:overflowPunct/>
        <w:topLinePunct w:val="0"/>
        <w:autoSpaceDE/>
        <w:autoSpaceDN/>
        <w:bidi w:val="0"/>
        <w:spacing w:line="576" w:lineRule="exact"/>
        <w:jc w:val="center"/>
        <w:textAlignment w:val="auto"/>
        <w:rPr>
          <w:rFonts w:hint="default" w:ascii="Times New Roman" w:hAnsi="Times New Roman" w:eastAsia="方正小标宋简体" w:cs="Times New Roman"/>
          <w:color w:val="000000"/>
          <w:sz w:val="18"/>
          <w:szCs w:val="18"/>
        </w:rPr>
      </w:pPr>
      <w:r>
        <w:rPr>
          <w:rFonts w:hint="eastAsia" w:ascii="方正公文小标宋" w:hAnsi="方正公文小标宋" w:eastAsia="方正公文小标宋" w:cs="方正公文小标宋"/>
          <w:b w:val="0"/>
          <w:bCs w:val="0"/>
          <w:color w:val="231F20"/>
          <w:sz w:val="44"/>
          <w:szCs w:val="44"/>
        </w:rPr>
        <w:t>福建省药品监督管理局</w:t>
      </w:r>
      <w:r>
        <w:rPr>
          <w:rFonts w:hint="eastAsia" w:ascii="方正公文小标宋" w:hAnsi="方正公文小标宋" w:eastAsia="方正公文小标宋" w:cs="方正公文小标宋"/>
          <w:b w:val="0"/>
          <w:bCs w:val="0"/>
          <w:color w:val="000000"/>
          <w:sz w:val="44"/>
          <w:szCs w:val="44"/>
        </w:rPr>
        <w:t>行政处罚决定书</w:t>
      </w:r>
    </w:p>
    <w:p w14:paraId="575BD3A0">
      <w:pPr>
        <w:pStyle w:val="3"/>
        <w:keepNext w:val="0"/>
        <w:keepLines w:val="0"/>
        <w:pageBreakBefore w:val="0"/>
        <w:widowControl w:val="0"/>
        <w:tabs>
          <w:tab w:val="left" w:pos="8964"/>
        </w:tabs>
        <w:kinsoku/>
        <w:wordWrap/>
        <w:overflowPunct/>
        <w:topLinePunct w:val="0"/>
        <w:autoSpaceDE/>
        <w:autoSpaceDN/>
        <w:bidi w:val="0"/>
        <w:adjustRightInd/>
        <w:snapToGrid/>
        <w:spacing w:before="313" w:beforeLines="100" w:line="576" w:lineRule="exact"/>
        <w:ind w:left="0" w:firstLine="640" w:firstLineChars="200"/>
        <w:jc w:val="right"/>
        <w:textAlignment w:val="auto"/>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pPr>
      <w:r>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闽药监厦稽办</w:t>
      </w:r>
      <w:r>
        <w:rPr>
          <w:rFonts w:hint="eastAsia"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处罚</w:t>
      </w:r>
      <w:r>
        <w:rPr>
          <w:rFonts w:hint="default" w:ascii="Times New Roman" w:hAnsi="Times New Roman" w:eastAsia="楷体" w:cs="Times New Roman"/>
          <w:i w:val="0"/>
          <w:iCs w:val="0"/>
          <w:color w:val="000000" w:themeColor="text1"/>
          <w:kern w:val="0"/>
          <w:sz w:val="32"/>
          <w:szCs w:val="32"/>
          <w:u w:val="none"/>
          <w:lang w:val="en-US" w:eastAsia="zh-CN" w:bidi="ar"/>
          <w14:textFill>
            <w14:solidFill>
              <w14:schemeClr w14:val="tx1"/>
            </w14:solidFill>
          </w14:textFill>
        </w:rPr>
        <w:t>〔2026〕8号</w:t>
      </w:r>
    </w:p>
    <w:p w14:paraId="7817ACF7">
      <w:pPr>
        <w:keepNext w:val="0"/>
        <w:keepLines w:val="0"/>
        <w:pageBreakBefore w:val="0"/>
        <w:widowControl w:val="0"/>
        <w:kinsoku/>
        <w:wordWrap/>
        <w:overflowPunct/>
        <w:topLinePunct w:val="0"/>
        <w:autoSpaceDE/>
        <w:autoSpaceDN/>
        <w:bidi w:val="0"/>
        <w:adjustRightInd w:val="0"/>
        <w:snapToGrid w:val="0"/>
        <w:spacing w:before="157" w:beforeLines="50"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当事人：</w:t>
      </w:r>
      <w:r>
        <w:rPr>
          <w:rFonts w:hint="default" w:ascii="Times New Roman" w:hAnsi="Times New Roman" w:eastAsia="仿宋_GB2312" w:cs="Times New Roman"/>
          <w:sz w:val="32"/>
          <w:szCs w:val="32"/>
        </w:rPr>
        <w:t>厦门安普利生物工程有限公司</w:t>
      </w:r>
      <w:r>
        <w:rPr>
          <w:rFonts w:hint="default" w:ascii="Times New Roman" w:hAnsi="Times New Roman" w:eastAsia="仿宋_GB2312" w:cs="Times New Roman"/>
          <w:b w:val="0"/>
          <w:bCs w:val="0"/>
          <w:color w:val="auto"/>
          <w:kern w:val="1"/>
          <w:sz w:val="32"/>
          <w:szCs w:val="32"/>
          <w:lang w:eastAsia="zh-CN"/>
        </w:rPr>
        <w:t>（以下简称“</w:t>
      </w:r>
      <w:r>
        <w:rPr>
          <w:rFonts w:hint="default" w:ascii="Times New Roman" w:hAnsi="Times New Roman" w:eastAsia="仿宋_GB2312" w:cs="Times New Roman"/>
          <w:sz w:val="32"/>
          <w:szCs w:val="32"/>
        </w:rPr>
        <w:t>安普利</w:t>
      </w:r>
      <w:r>
        <w:rPr>
          <w:rFonts w:hint="default" w:ascii="Times New Roman" w:hAnsi="Times New Roman" w:eastAsia="仿宋_GB2312" w:cs="Times New Roman"/>
          <w:b w:val="0"/>
          <w:bCs w:val="0"/>
          <w:color w:val="auto"/>
          <w:kern w:val="1"/>
          <w:sz w:val="32"/>
          <w:szCs w:val="32"/>
          <w:lang w:eastAsia="zh-CN"/>
        </w:rPr>
        <w:t>”）</w:t>
      </w:r>
    </w:p>
    <w:p w14:paraId="577FFDD5">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1"/>
          <w:sz w:val="32"/>
          <w:szCs w:val="32"/>
        </w:rPr>
        <w:t>主体资格证照名称：《营业执照》</w:t>
      </w:r>
    </w:p>
    <w:p w14:paraId="62634308">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统一社会信用代码：</w:t>
      </w:r>
      <w:r>
        <w:rPr>
          <w:rFonts w:hint="default" w:ascii="Times New Roman" w:hAnsi="Times New Roman" w:eastAsia="仿宋_GB2312" w:cs="Times New Roman"/>
          <w:sz w:val="32"/>
          <w:szCs w:val="32"/>
          <w:lang w:eastAsia="zh-CN"/>
        </w:rPr>
        <w:t>91350200612333260F</w:t>
      </w:r>
    </w:p>
    <w:p w14:paraId="7B91936E">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住所:厦门市海沧区阳光路10号</w:t>
      </w:r>
    </w:p>
    <w:p w14:paraId="2B7C0131">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法定代表人：</w:t>
      </w:r>
      <w:r>
        <w:rPr>
          <w:rFonts w:hint="default" w:ascii="Times New Roman" w:hAnsi="Times New Roman" w:eastAsia="仿宋_GB2312" w:cs="Times New Roman"/>
          <w:color w:val="000000"/>
          <w:sz w:val="32"/>
          <w:szCs w:val="32"/>
          <w:lang w:val="en-US" w:eastAsia="zh-CN"/>
        </w:rPr>
        <w:t>魏</w:t>
      </w:r>
      <w:r>
        <w:rPr>
          <w:rFonts w:hint="eastAsia" w:ascii="Times New Roman" w:hAnsi="Times New Roman" w:eastAsia="仿宋_GB2312" w:cs="Times New Roman"/>
          <w:color w:val="000000"/>
          <w:sz w:val="32"/>
          <w:szCs w:val="32"/>
          <w:lang w:val="en-US" w:eastAsia="zh-CN"/>
        </w:rPr>
        <w:t>*</w:t>
      </w:r>
    </w:p>
    <w:p w14:paraId="61A9FBA2">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身份证号码：</w:t>
      </w:r>
      <w:r>
        <w:rPr>
          <w:rFonts w:hint="default" w:ascii="Times New Roman" w:hAnsi="Times New Roman" w:eastAsia="仿宋_GB2312" w:cs="Times New Roman"/>
          <w:kern w:val="0"/>
          <w:sz w:val="32"/>
          <w:szCs w:val="32"/>
          <w:lang w:val="en-US" w:eastAsia="zh-CN"/>
        </w:rPr>
        <w:t>3101</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1633</w:t>
      </w:r>
    </w:p>
    <w:p w14:paraId="24C44C2C">
      <w:pPr>
        <w:keepNext w:val="0"/>
        <w:keepLines w:val="0"/>
        <w:pageBreakBefore w:val="0"/>
        <w:kinsoku/>
        <w:wordWrap/>
        <w:overflowPunct/>
        <w:topLinePunct w:val="0"/>
        <w:autoSpaceDE/>
        <w:autoSpaceDN/>
        <w:bidi w:val="0"/>
        <w:adjustRightInd w:val="0"/>
        <w:snapToGrid w:val="0"/>
        <w:spacing w:line="576" w:lineRule="exact"/>
        <w:ind w:left="142" w:hanging="142"/>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联系电话：</w:t>
      </w:r>
      <w:r>
        <w:rPr>
          <w:rFonts w:hint="default" w:ascii="Times New Roman" w:hAnsi="Times New Roman" w:eastAsia="仿宋_GB2312" w:cs="Times New Roman"/>
          <w:bCs/>
          <w:sz w:val="32"/>
          <w:szCs w:val="32"/>
        </w:rPr>
        <w:t>13</w:t>
      </w:r>
      <w:r>
        <w:rPr>
          <w:rFonts w:hint="eastAsia" w:ascii="Times New Roman" w:hAnsi="Times New Roman" w:eastAsia="仿宋_GB2312" w:cs="Times New Roman"/>
          <w:bCs/>
          <w:sz w:val="32"/>
          <w:szCs w:val="32"/>
          <w:lang w:val="en-US" w:eastAsia="zh-CN"/>
        </w:rPr>
        <w:t>*******</w:t>
      </w:r>
      <w:r>
        <w:rPr>
          <w:rFonts w:hint="default" w:ascii="Times New Roman" w:hAnsi="Times New Roman" w:eastAsia="仿宋_GB2312" w:cs="Times New Roman"/>
          <w:bCs/>
          <w:sz w:val="32"/>
          <w:szCs w:val="32"/>
        </w:rPr>
        <w:t>37</w:t>
      </w:r>
    </w:p>
    <w:p w14:paraId="71890550">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联系地址：厦门市海沧区阳光路10号</w:t>
      </w:r>
    </w:p>
    <w:p w14:paraId="7FA62AE5">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根据北京市医疗器械检验研究院《检验报告》（编号：J-G-0112-2026，检验类别：国家监督抽验），</w:t>
      </w:r>
      <w:r>
        <w:rPr>
          <w:rFonts w:hint="default" w:ascii="Times New Roman" w:hAnsi="Times New Roman" w:eastAsia="仿宋_GB2312" w:cs="Times New Roman"/>
          <w:sz w:val="32"/>
          <w:szCs w:val="32"/>
          <w:lang w:val="en-US" w:eastAsia="zh-CN"/>
        </w:rPr>
        <w:t>安普利生产</w:t>
      </w:r>
      <w:r>
        <w:rPr>
          <w:rFonts w:hint="default" w:ascii="Times New Roman" w:hAnsi="Times New Roman" w:eastAsia="仿宋_GB2312" w:cs="Times New Roman"/>
          <w:sz w:val="32"/>
          <w:szCs w:val="32"/>
          <w:lang w:eastAsia="zh-CN"/>
        </w:rPr>
        <w:t>的EB病毒核酸检测试剂盒（荧光PCR法）（</w:t>
      </w:r>
      <w:r>
        <w:rPr>
          <w:rFonts w:hint="default" w:ascii="Times New Roman" w:hAnsi="Times New Roman" w:eastAsia="仿宋_GB2312" w:cs="Times New Roman"/>
          <w:sz w:val="32"/>
          <w:szCs w:val="32"/>
          <w:lang w:val="en-US" w:eastAsia="zh-CN"/>
        </w:rPr>
        <w:t>批号：</w:t>
      </w:r>
      <w:r>
        <w:rPr>
          <w:rFonts w:hint="default" w:ascii="Times New Roman" w:hAnsi="Times New Roman" w:eastAsia="仿宋_GB2312" w:cs="Times New Roman"/>
          <w:sz w:val="32"/>
          <w:szCs w:val="32"/>
          <w:lang w:eastAsia="zh-CN"/>
        </w:rPr>
        <w:t>A213420260320、规格型号：24人份/盒）</w:t>
      </w:r>
      <w:r>
        <w:rPr>
          <w:rFonts w:hint="default" w:ascii="Times New Roman" w:hAnsi="Times New Roman" w:eastAsia="仿宋_GB2312" w:cs="Times New Roman"/>
          <w:sz w:val="32"/>
          <w:szCs w:val="32"/>
          <w:lang w:val="en-US" w:eastAsia="zh-CN"/>
        </w:rPr>
        <w:t>经检验不合格，不合格检验项目为</w:t>
      </w:r>
      <w:r>
        <w:rPr>
          <w:rFonts w:hint="default" w:ascii="Times New Roman" w:hAnsi="Times New Roman" w:eastAsia="仿宋_GB2312" w:cs="Times New Roman"/>
          <w:sz w:val="32"/>
          <w:szCs w:val="32"/>
          <w:lang w:eastAsia="zh-CN"/>
        </w:rPr>
        <w:t>“重复性”。</w:t>
      </w:r>
      <w:r>
        <w:rPr>
          <w:rFonts w:hint="default" w:ascii="Times New Roman" w:hAnsi="Times New Roman" w:eastAsia="仿宋_GB2312" w:cs="Times New Roman"/>
          <w:sz w:val="32"/>
          <w:szCs w:val="32"/>
          <w:lang w:val="en-US" w:eastAsia="zh-CN"/>
        </w:rPr>
        <w:t>我局于2026年6月26日送达了上述</w:t>
      </w:r>
      <w:r>
        <w:rPr>
          <w:rFonts w:hint="default" w:ascii="Times New Roman" w:hAnsi="Times New Roman" w:eastAsia="仿宋_GB2312" w:cs="Times New Roman"/>
          <w:sz w:val="32"/>
          <w:szCs w:val="32"/>
          <w:lang w:eastAsia="zh-CN"/>
        </w:rPr>
        <w:t>《检验报告》。6月29日，当事人提出了复检申请，复检机构为江苏省医疗器械检验所。</w:t>
      </w:r>
      <w:r>
        <w:rPr>
          <w:rFonts w:hint="default" w:ascii="Times New Roman" w:hAnsi="Times New Roman" w:eastAsia="仿宋_GB2312" w:cs="Times New Roman"/>
          <w:sz w:val="32"/>
          <w:szCs w:val="32"/>
          <w:lang w:val="en-US" w:eastAsia="zh-CN"/>
        </w:rPr>
        <w:t>因安普利</w:t>
      </w:r>
      <w:r>
        <w:rPr>
          <w:rFonts w:hint="default" w:ascii="Times New Roman" w:hAnsi="Times New Roman" w:eastAsia="仿宋_GB2312" w:cs="Times New Roman"/>
          <w:sz w:val="32"/>
          <w:szCs w:val="32"/>
          <w:lang w:eastAsia="zh-CN"/>
        </w:rPr>
        <w:t>违反了《医疗器械监督管理条例》第三十五条第一款的规定，涉嫌生产不符合经注册产品技术要求的EB病毒核酸检测试剂盒（荧光PCR法）。7月6日，我局予以立案调查。8月6日，我局收到江苏省医疗器械检验所《检验报告》（报告编号：2026GCFY0007，检验类别：国家监督复检），上述检验项目的复检结论为不合格。2026年8月7日，</w:t>
      </w:r>
      <w:r>
        <w:rPr>
          <w:rFonts w:hint="default"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eastAsia="zh-CN"/>
        </w:rPr>
        <w:t>向安普利送达了复检报告，并对安普利管理者代表魏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、质量负责人敖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、生产负责人陈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等3名相关人员进行询问调查。在调查取证过程中，涉案产品库存为26盒，召回数量为21盒，共47盒，鉴于当事人该批次产品特殊存储要求（-20℃保存），我局未采取行政强制措施。</w:t>
      </w:r>
    </w:p>
    <w:p w14:paraId="5DE5D0C0">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经查，</w:t>
      </w:r>
      <w:r>
        <w:rPr>
          <w:rFonts w:hint="default" w:ascii="Times New Roman" w:hAnsi="Times New Roman" w:eastAsia="仿宋_GB2312" w:cs="Times New Roman"/>
          <w:sz w:val="32"/>
          <w:szCs w:val="32"/>
          <w:lang w:val="en-US" w:eastAsia="zh-CN"/>
        </w:rPr>
        <w:t>安普利于2026年3月18日至3月23日期间，共</w:t>
      </w:r>
      <w:r>
        <w:rPr>
          <w:rFonts w:hint="default" w:ascii="Times New Roman" w:hAnsi="Times New Roman" w:eastAsia="仿宋_GB2312" w:cs="Times New Roman"/>
          <w:sz w:val="32"/>
          <w:szCs w:val="32"/>
          <w:lang w:eastAsia="zh-CN"/>
        </w:rPr>
        <w:t>生产放行了涉案批次产品159盒，有14盒产品用于国家监督抽样，1盒用于省局飞检时的现场检测，有118盒产品用于销售，当中有32盒产品为赠品，库存还剩余26盒产品。该涉案批次产品的召回数量为21盒。根据</w:t>
      </w:r>
      <w:r>
        <w:rPr>
          <w:rFonts w:hint="default" w:ascii="Times New Roman" w:hAnsi="Times New Roman" w:eastAsia="仿宋_GB2312" w:cs="Times New Roman"/>
          <w:sz w:val="32"/>
          <w:szCs w:val="32"/>
          <w:lang w:val="en-US" w:eastAsia="zh-CN"/>
        </w:rPr>
        <w:t>安普利</w:t>
      </w:r>
      <w:r>
        <w:rPr>
          <w:rFonts w:hint="default" w:ascii="Times New Roman" w:hAnsi="Times New Roman" w:eastAsia="仿宋_GB2312" w:cs="Times New Roman"/>
          <w:sz w:val="32"/>
          <w:szCs w:val="32"/>
          <w:lang w:eastAsia="zh-CN"/>
        </w:rPr>
        <w:t>提供的销售合同及发票，涉案批次产品的总货值金额为44458.92元。</w:t>
      </w:r>
    </w:p>
    <w:p w14:paraId="364DEAC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b w:val="0"/>
          <w:bCs w:val="0"/>
          <w:color w:val="auto"/>
          <w:kern w:val="1"/>
          <w:sz w:val="32"/>
          <w:szCs w:val="32"/>
          <w:u w:val="none"/>
          <w:lang w:val="en-US" w:eastAsia="zh-CN"/>
        </w:rPr>
      </w:pPr>
      <w:r>
        <w:rPr>
          <w:rFonts w:hint="default" w:ascii="Times New Roman" w:hAnsi="Times New Roman" w:eastAsia="仿宋_GB2312" w:cs="Times New Roman"/>
          <w:b w:val="0"/>
          <w:bCs w:val="0"/>
          <w:color w:val="auto"/>
          <w:kern w:val="1"/>
          <w:sz w:val="32"/>
          <w:szCs w:val="32"/>
          <w:u w:val="none"/>
          <w:lang w:val="en-US" w:eastAsia="zh-CN"/>
        </w:rPr>
        <w:t>我局根据上述两份《检验报告》，结合对</w:t>
      </w:r>
      <w:r>
        <w:rPr>
          <w:rFonts w:hint="default" w:ascii="Times New Roman" w:hAnsi="Times New Roman" w:eastAsia="仿宋_GB2312" w:cs="Times New Roman"/>
          <w:kern w:val="1"/>
          <w:sz w:val="32"/>
          <w:szCs w:val="32"/>
          <w:lang w:val="en-US" w:eastAsia="zh-CN"/>
        </w:rPr>
        <w:t>安普利</w:t>
      </w:r>
      <w:r>
        <w:rPr>
          <w:rFonts w:hint="default" w:ascii="Times New Roman" w:hAnsi="Times New Roman" w:eastAsia="仿宋_GB2312" w:cs="Times New Roman"/>
          <w:b w:val="0"/>
          <w:bCs w:val="0"/>
          <w:color w:val="000000"/>
          <w:kern w:val="1"/>
          <w:sz w:val="32"/>
          <w:szCs w:val="32"/>
          <w:u w:val="none" w:color="auto"/>
          <w:lang w:val="en-US" w:eastAsia="zh-CN" w:bidi="ar-SA"/>
        </w:rPr>
        <w:t>的</w:t>
      </w:r>
      <w:r>
        <w:rPr>
          <w:rFonts w:hint="default" w:ascii="Times New Roman" w:hAnsi="Times New Roman" w:eastAsia="仿宋_GB2312" w:cs="Times New Roman"/>
          <w:b w:val="0"/>
          <w:bCs w:val="0"/>
          <w:sz w:val="32"/>
          <w:szCs w:val="32"/>
          <w:u w:val="none"/>
          <w:lang w:val="en-US" w:eastAsia="zh-CN"/>
        </w:rPr>
        <w:t>问询调查笔录及相应证据材料，</w:t>
      </w:r>
      <w:r>
        <w:rPr>
          <w:rFonts w:hint="default" w:ascii="Times New Roman" w:hAnsi="Times New Roman" w:eastAsia="仿宋_GB2312" w:cs="Times New Roman"/>
          <w:b w:val="0"/>
          <w:bCs w:val="0"/>
          <w:color w:val="auto"/>
          <w:kern w:val="1"/>
          <w:sz w:val="32"/>
          <w:szCs w:val="32"/>
          <w:u w:val="none"/>
          <w:lang w:val="en-US" w:eastAsia="zh-CN"/>
        </w:rPr>
        <w:t>判定安普利构成了生产不符合经注册产品技术要求的EB病毒核酸检测试剂盒（荧光PCR法）的行为。</w:t>
      </w:r>
    </w:p>
    <w:p w14:paraId="526CEE86">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231F20"/>
          <w:spacing w:val="-11"/>
          <w:sz w:val="32"/>
          <w:szCs w:val="32"/>
          <w:lang w:eastAsia="zh-CN"/>
        </w:rPr>
      </w:pPr>
      <w:r>
        <w:rPr>
          <w:rFonts w:hint="default" w:ascii="Times New Roman" w:hAnsi="Times New Roman" w:eastAsia="仿宋_GB2312" w:cs="Times New Roman"/>
          <w:color w:val="231F20"/>
          <w:spacing w:val="-11"/>
          <w:sz w:val="32"/>
          <w:szCs w:val="32"/>
          <w:lang w:eastAsia="zh-CN"/>
        </w:rPr>
        <w:t>上述事实，主要有以下证据证明：</w:t>
      </w:r>
    </w:p>
    <w:p w14:paraId="71522414">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1.当事人《营业执照》《医疗器械生产许可证》、EB病毒核酸检测试剂盒（荧光PCR法）《医疗器械注册证》及其产品技术要求等材料复印件各1份，证明当事人生产EB病毒核酸检测试剂盒（荧光PCR法）的资质情况。</w:t>
      </w:r>
    </w:p>
    <w:p w14:paraId="6EF76049">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2.现场笔录、询问笔录、安普利法定代表人魏</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、管理者代表魏</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、质量负责人敖</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、生产负责人陈</w:t>
      </w:r>
      <w:r>
        <w:rPr>
          <w:rFonts w:hint="eastAsia" w:ascii="Times New Roman" w:hAnsi="Times New Roman" w:eastAsia="仿宋_GB2312" w:cs="Times New Roman"/>
          <w:highlight w:val="none"/>
          <w:lang w:val="en-US" w:eastAsia="zh-CN"/>
        </w:rPr>
        <w:t>**</w:t>
      </w:r>
      <w:r>
        <w:rPr>
          <w:rFonts w:hint="default" w:ascii="Times New Roman" w:hAnsi="Times New Roman" w:eastAsia="仿宋_GB2312" w:cs="Times New Roman"/>
          <w:highlight w:val="none"/>
          <w:lang w:eastAsia="zh-CN"/>
        </w:rPr>
        <w:t>等人员身份证复印件各1份，证明当事人相关人员的身份、职务情况；法定代表人魏超《委托授权书》1份，说明当事人授权情况。</w:t>
      </w:r>
    </w:p>
    <w:p w14:paraId="7C244097">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3.北京市医疗器械检验研究院《检验报告》（编号：J-G-0112-2026，检验类别：国家监督抽验）、江苏省医疗器械检验所《检验报告》（报告编号：2026GCFY0007，检验类别：国家监督复检），证明案件来源。</w:t>
      </w:r>
    </w:p>
    <w:p w14:paraId="52DFD00E">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4.当事人涉案批次EB病毒核酸检测试剂盒（荧光PCR法）批生产记录、成品检验报告、成品货位卡、留样样品货位卡、留样及库存照片等材料复印件各1份，说明当事人涉案批次产品的生产、检验及留样情况。</w:t>
      </w:r>
    </w:p>
    <w:p w14:paraId="18948A65">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5.当事人《EB病毒核酸检测试剂盒（荧光PCR法）成品质量标准及检验操作规程》材料复印件1份，说明涉案产品检验操作等情况。</w:t>
      </w:r>
    </w:p>
    <w:p w14:paraId="1DF1A087">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6.当事人《采取风险控制措施及复检告知承诺书》《抽检不合格品采取措施的承诺书》原件各1份；《召回通知书》复印件5份；《医疗器械召回事件报告表》《召回计划实施情况报告表》《EB国抽不合格的原因分析》复印件等各1份，说明当事人采取风险控制、产品召回、原因分析等情况。</w:t>
      </w:r>
    </w:p>
    <w:p w14:paraId="6E1B9BB4">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7.当事人涉案批次《产品批销售记录》复印件1份、销售发货单复印件13份、销售发票复印件9份、《</w:t>
      </w:r>
      <w:r>
        <w:rPr>
          <w:rFonts w:hint="eastAsia" w:ascii="Times New Roman" w:hAnsi="Times New Roman" w:eastAsia="仿宋_GB2312" w:cs="Times New Roman"/>
          <w:highlight w:val="none"/>
          <w:lang w:val="en-US" w:eastAsia="zh-CN"/>
        </w:rPr>
        <w:t>****</w:t>
      </w:r>
      <w:bookmarkStart w:id="0" w:name="_GoBack"/>
      <w:bookmarkEnd w:id="0"/>
      <w:r>
        <w:rPr>
          <w:rFonts w:hint="default" w:ascii="Times New Roman" w:hAnsi="Times New Roman" w:eastAsia="仿宋_GB2312" w:cs="Times New Roman"/>
          <w:highlight w:val="none"/>
          <w:lang w:eastAsia="zh-CN"/>
        </w:rPr>
        <w:t>中心医院发票情况说明》《医疗器械抽样记录及凭证》（抽样编号：3526300101002）复印件、《安普利生物工程有限公司维修单》《试剂申请》等复印件各1份，证明涉案物品的流向及销售情况。</w:t>
      </w:r>
    </w:p>
    <w:p w14:paraId="153AE454">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highlight w:val="none"/>
          <w:lang w:eastAsia="zh-CN"/>
        </w:rPr>
      </w:pPr>
      <w:r>
        <w:rPr>
          <w:rFonts w:hint="default" w:ascii="Times New Roman" w:hAnsi="Times New Roman" w:eastAsia="仿宋_GB2312" w:cs="Times New Roman"/>
          <w:highlight w:val="none"/>
          <w:lang w:eastAsia="zh-CN"/>
        </w:rPr>
        <w:t>8.当事人的国家企业信用信息公示系统检索结果网页截图（检索时间：2026年8月7日），说明当事人系初次违法；当事人的国家医疗器械不良事件监测信息系统查询结果网页截图（检索时间：2026年8月7日），证明该涉案批次产品未发生不良事件。</w:t>
      </w:r>
    </w:p>
    <w:p w14:paraId="456DE09C">
      <w:pPr>
        <w:pStyle w:val="3"/>
        <w:keepNext w:val="0"/>
        <w:keepLines w:val="0"/>
        <w:pageBreakBefore w:val="0"/>
        <w:kinsoku/>
        <w:wordWrap/>
        <w:overflowPunct/>
        <w:topLinePunct w:val="0"/>
        <w:autoSpaceDE/>
        <w:autoSpaceDN/>
        <w:bidi w:val="0"/>
        <w:snapToGrid w:val="0"/>
        <w:spacing w:line="576" w:lineRule="exact"/>
        <w:ind w:left="0" w:firstLine="640" w:firstLineChars="200"/>
        <w:jc w:val="both"/>
        <w:textAlignment w:val="auto"/>
        <w:rPr>
          <w:rFonts w:hint="default" w:ascii="Times New Roman" w:hAnsi="Times New Roman" w:eastAsia="仿宋_GB2312" w:cs="Times New Roman"/>
          <w:w w:val="99"/>
          <w:lang w:eastAsia="zh-CN"/>
        </w:rPr>
      </w:pPr>
      <w:r>
        <w:rPr>
          <w:rFonts w:hint="default" w:ascii="Times New Roman" w:hAnsi="Times New Roman" w:eastAsia="仿宋_GB2312" w:cs="Times New Roman"/>
          <w:lang w:eastAsia="zh-CN"/>
        </w:rPr>
        <w:t>202</w:t>
      </w:r>
      <w:r>
        <w:rPr>
          <w:rFonts w:hint="default" w:ascii="Times New Roman" w:hAnsi="Times New Roman" w:eastAsia="仿宋_GB2312" w:cs="Times New Roman"/>
          <w:lang w:val="en-US" w:eastAsia="zh-CN"/>
        </w:rPr>
        <w:t>6</w:t>
      </w:r>
      <w:r>
        <w:rPr>
          <w:rFonts w:hint="default" w:ascii="Times New Roman" w:hAnsi="Times New Roman" w:eastAsia="仿宋_GB2312" w:cs="Times New Roman"/>
          <w:lang w:eastAsia="zh-CN"/>
        </w:rPr>
        <w:t>年</w:t>
      </w:r>
      <w:r>
        <w:rPr>
          <w:rFonts w:hint="default" w:ascii="Times New Roman" w:hAnsi="Times New Roman" w:eastAsia="仿宋_GB2312" w:cs="Times New Roman"/>
          <w:lang w:val="en-US" w:eastAsia="zh-CN"/>
        </w:rPr>
        <w:t>9</w:t>
      </w:r>
      <w:r>
        <w:rPr>
          <w:rFonts w:hint="default" w:ascii="Times New Roman" w:hAnsi="Times New Roman" w:eastAsia="仿宋_GB2312" w:cs="Times New Roman"/>
          <w:lang w:eastAsia="zh-CN"/>
        </w:rPr>
        <w:t>月</w:t>
      </w:r>
      <w:r>
        <w:rPr>
          <w:rFonts w:hint="default" w:ascii="Times New Roman" w:hAnsi="Times New Roman" w:eastAsia="仿宋_GB2312" w:cs="Times New Roman"/>
          <w:lang w:val="en-US" w:eastAsia="zh-CN"/>
        </w:rPr>
        <w:t>14</w:t>
      </w:r>
      <w:r>
        <w:rPr>
          <w:rFonts w:hint="default" w:ascii="Times New Roman" w:hAnsi="Times New Roman" w:eastAsia="仿宋_GB2312" w:cs="Times New Roman"/>
          <w:lang w:eastAsia="zh-CN"/>
        </w:rPr>
        <w:t>日，我局</w:t>
      </w:r>
      <w:r>
        <w:rPr>
          <w:rFonts w:hint="default" w:ascii="Times New Roman" w:hAnsi="Times New Roman" w:eastAsia="仿宋_GB2312" w:cs="Times New Roman"/>
          <w:w w:val="99"/>
          <w:lang w:eastAsia="zh-CN"/>
        </w:rPr>
        <w:t>向</w:t>
      </w:r>
      <w:r>
        <w:rPr>
          <w:rFonts w:hint="default" w:ascii="Times New Roman" w:hAnsi="Times New Roman" w:eastAsia="仿宋_GB2312" w:cs="Times New Roman"/>
          <w:lang w:val="en-US" w:eastAsia="zh-CN"/>
        </w:rPr>
        <w:t>安普利</w:t>
      </w:r>
      <w:r>
        <w:rPr>
          <w:rFonts w:hint="default" w:ascii="Times New Roman" w:hAnsi="Times New Roman" w:eastAsia="仿宋_GB2312" w:cs="Times New Roman"/>
          <w:w w:val="99"/>
          <w:lang w:eastAsia="zh-CN"/>
        </w:rPr>
        <w:t>送达</w:t>
      </w:r>
      <w:r>
        <w:rPr>
          <w:rFonts w:hint="default" w:ascii="Times New Roman" w:hAnsi="Times New Roman" w:eastAsia="仿宋_GB2312" w:cs="Times New Roman"/>
          <w:w w:val="99"/>
          <w:lang w:val="en-US" w:eastAsia="zh-CN"/>
        </w:rPr>
        <w:t>了</w:t>
      </w:r>
      <w:r>
        <w:rPr>
          <w:rFonts w:hint="default" w:ascii="Times New Roman" w:hAnsi="Times New Roman" w:eastAsia="仿宋_GB2312" w:cs="Times New Roman"/>
          <w:w w:val="99"/>
          <w:lang w:eastAsia="zh-CN"/>
        </w:rPr>
        <w:t>《行政处罚告知书》（闽药监厦稽办〔202</w:t>
      </w:r>
      <w:r>
        <w:rPr>
          <w:rFonts w:hint="default" w:ascii="Times New Roman" w:hAnsi="Times New Roman" w:eastAsia="仿宋_GB2312" w:cs="Times New Roman"/>
          <w:w w:val="99"/>
          <w:lang w:val="en-US" w:eastAsia="zh-CN"/>
        </w:rPr>
        <w:t>6</w:t>
      </w:r>
      <w:r>
        <w:rPr>
          <w:rFonts w:hint="default" w:ascii="Times New Roman" w:hAnsi="Times New Roman" w:eastAsia="仿宋_GB2312" w:cs="Times New Roman"/>
          <w:w w:val="99"/>
          <w:lang w:eastAsia="zh-CN"/>
        </w:rPr>
        <w:t>〕</w:t>
      </w:r>
      <w:r>
        <w:rPr>
          <w:rFonts w:hint="default" w:ascii="Times New Roman" w:hAnsi="Times New Roman" w:eastAsia="仿宋_GB2312" w:cs="Times New Roman"/>
          <w:w w:val="99"/>
          <w:lang w:val="en-US" w:eastAsia="zh-CN"/>
        </w:rPr>
        <w:t>9</w:t>
      </w:r>
      <w:r>
        <w:rPr>
          <w:rFonts w:hint="default" w:ascii="Times New Roman" w:hAnsi="Times New Roman" w:eastAsia="仿宋_GB2312" w:cs="Times New Roman"/>
          <w:w w:val="99"/>
          <w:lang w:eastAsia="zh-CN"/>
        </w:rPr>
        <w:t>号），告知拟作出行政处罚决定的事实、理由及依据，并告知其依法享有陈述权、申辩权的权利。在法定期限内，</w:t>
      </w:r>
      <w:r>
        <w:rPr>
          <w:rFonts w:hint="default" w:ascii="Times New Roman" w:hAnsi="Times New Roman" w:eastAsia="仿宋_GB2312" w:cs="Times New Roman"/>
          <w:lang w:val="en-US" w:eastAsia="zh-CN"/>
        </w:rPr>
        <w:t>安普利</w:t>
      </w:r>
      <w:r>
        <w:rPr>
          <w:rFonts w:hint="default" w:ascii="Times New Roman" w:hAnsi="Times New Roman" w:eastAsia="仿宋_GB2312" w:cs="Times New Roman"/>
          <w:w w:val="99"/>
          <w:lang w:eastAsia="zh-CN"/>
        </w:rPr>
        <w:t>未向我局提出陈述、申辩和听证要求。</w:t>
      </w:r>
    </w:p>
    <w:p w14:paraId="00A6F696">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我局认为，</w:t>
      </w:r>
      <w:r>
        <w:rPr>
          <w:rFonts w:hint="default" w:ascii="Times New Roman" w:hAnsi="Times New Roman" w:eastAsia="仿宋_GB2312" w:cs="Times New Roman"/>
          <w:sz w:val="32"/>
          <w:szCs w:val="32"/>
          <w:lang w:val="en-US" w:eastAsia="zh-CN"/>
        </w:rPr>
        <w:t>安普利</w:t>
      </w:r>
      <w:r>
        <w:rPr>
          <w:rFonts w:hint="default" w:ascii="Times New Roman" w:hAnsi="Times New Roman" w:eastAsia="仿宋_GB2312" w:cs="Times New Roman"/>
          <w:sz w:val="32"/>
          <w:szCs w:val="32"/>
          <w:lang w:eastAsia="zh-CN"/>
        </w:rPr>
        <w:t>违反了《医疗器械监督管理条例》第三十五条第一款之规定，构成了生产不符合经注册产品技术要求的EB病毒核酸检测试剂盒（荧光PCR法）的违法行为。</w:t>
      </w:r>
    </w:p>
    <w:p w14:paraId="18F5F21F">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在调查取证阶段，当事人系初次违法，积极配合调查，积极采取改正、召回等措施且在违法行为发生期间，信用风险评定为A类，符合《福建省药品监管行政处罚裁量适用细则》第十一条第一款第二项、第七项、第十项、第十一项的规定，按从轻处罚等级量罚，参照《福建省医疗器械行政处罚裁量基准（试行）》QX-11的规定，即处货值金额44458.92元的5倍罚款，合计222294.6元。</w:t>
      </w:r>
    </w:p>
    <w:p w14:paraId="77B40FAA">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依据《医疗器械监督管理条例》第八十六条第一项的规定，</w:t>
      </w:r>
      <w:r>
        <w:rPr>
          <w:rFonts w:hint="eastAsia" w:ascii="Times New Roman" w:hAnsi="Times New Roman" w:eastAsia="仿宋_GB2312" w:cs="Times New Roman"/>
          <w:color w:val="auto"/>
          <w:sz w:val="32"/>
          <w:szCs w:val="32"/>
          <w:u w:val="none"/>
          <w:lang w:val="en-US" w:eastAsia="zh-CN"/>
        </w:rPr>
        <w:t>决定</w:t>
      </w:r>
      <w:r>
        <w:rPr>
          <w:rFonts w:hint="default" w:ascii="Times New Roman" w:hAnsi="Times New Roman" w:eastAsia="仿宋_GB2312" w:cs="Times New Roman"/>
          <w:color w:val="auto"/>
          <w:sz w:val="32"/>
          <w:szCs w:val="32"/>
          <w:u w:val="none"/>
          <w:lang w:val="en-US" w:eastAsia="zh-CN"/>
        </w:rPr>
        <w:t>责令</w:t>
      </w:r>
      <w:r>
        <w:rPr>
          <w:rFonts w:hint="eastAsia" w:ascii="Times New Roman" w:hAnsi="Times New Roman" w:eastAsia="仿宋_GB2312" w:cs="Times New Roman"/>
          <w:color w:val="auto"/>
          <w:sz w:val="32"/>
          <w:szCs w:val="32"/>
          <w:u w:val="none"/>
          <w:lang w:val="en-US" w:eastAsia="zh-CN"/>
        </w:rPr>
        <w:t>安普利</w:t>
      </w:r>
      <w:r>
        <w:rPr>
          <w:rFonts w:hint="default" w:ascii="Times New Roman" w:hAnsi="Times New Roman" w:eastAsia="仿宋_GB2312" w:cs="Times New Roman"/>
          <w:color w:val="auto"/>
          <w:sz w:val="32"/>
          <w:szCs w:val="32"/>
          <w:u w:val="none"/>
          <w:lang w:val="en-US" w:eastAsia="zh-CN"/>
        </w:rPr>
        <w:t>改正上述违法行为，并给予如下处罚：</w:t>
      </w:r>
    </w:p>
    <w:p w14:paraId="428C817E">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（一）没收违法生产的生产批号为A213420260320的EB病毒核酸检测试剂盒（荧光PCR法）47盒；</w:t>
      </w:r>
    </w:p>
    <w:p w14:paraId="56362471">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（二）罚款222294.6元。</w:t>
      </w:r>
    </w:p>
    <w:p w14:paraId="7142CCD2">
      <w:pPr>
        <w:pStyle w:val="6"/>
        <w:keepNext w:val="0"/>
        <w:keepLines w:val="0"/>
        <w:pageBreakBefore w:val="0"/>
        <w:widowControl/>
        <w:suppressLineNumbers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上述罚没款合计222294.6元（贰拾贰万贰仟贰佰玖拾肆元陆角）</w:t>
      </w:r>
    </w:p>
    <w:p w14:paraId="07DAB55D">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kern w:val="1"/>
          <w:sz w:val="32"/>
          <w:szCs w:val="32"/>
        </w:rPr>
      </w:pPr>
      <w:r>
        <w:rPr>
          <w:rFonts w:hint="default" w:ascii="Times New Roman" w:hAnsi="Times New Roman" w:eastAsia="仿宋_GB2312" w:cs="Times New Roman"/>
          <w:kern w:val="1"/>
          <w:sz w:val="32"/>
          <w:szCs w:val="32"/>
        </w:rPr>
        <w:t>当事人应自接到本行政处罚决定之日起15日内缴纳上述罚没款。根据我</w:t>
      </w:r>
      <w:r>
        <w:rPr>
          <w:rFonts w:hint="default" w:ascii="Times New Roman" w:hAnsi="Times New Roman" w:eastAsia="仿宋_GB2312" w:cs="Times New Roman"/>
          <w:kern w:val="1"/>
          <w:sz w:val="32"/>
          <w:szCs w:val="32"/>
          <w:lang w:eastAsia="zh-CN"/>
        </w:rPr>
        <w:t>局</w:t>
      </w:r>
      <w:r>
        <w:rPr>
          <w:rFonts w:hint="default" w:ascii="Times New Roman" w:hAnsi="Times New Roman" w:eastAsia="仿宋_GB2312" w:cs="Times New Roman"/>
          <w:kern w:val="1"/>
          <w:sz w:val="32"/>
          <w:szCs w:val="32"/>
        </w:rPr>
        <w:t>开具的行政处罚缴款通知书，当事人自行选择缴款方式。逾期不缴纳罚款的，依据《中华人民共和国行政处罚法》第七十二条的规定，我</w:t>
      </w:r>
      <w:r>
        <w:rPr>
          <w:rFonts w:hint="default" w:ascii="Times New Roman" w:hAnsi="Times New Roman" w:eastAsia="仿宋_GB2312" w:cs="Times New Roman"/>
          <w:kern w:val="1"/>
          <w:sz w:val="32"/>
          <w:szCs w:val="32"/>
          <w:lang w:eastAsia="zh-CN"/>
        </w:rPr>
        <w:t>局</w:t>
      </w:r>
      <w:r>
        <w:rPr>
          <w:rFonts w:hint="default" w:ascii="Times New Roman" w:hAnsi="Times New Roman" w:eastAsia="仿宋_GB2312" w:cs="Times New Roman"/>
          <w:kern w:val="1"/>
          <w:sz w:val="32"/>
          <w:szCs w:val="32"/>
        </w:rPr>
        <w:t xml:space="preserve">将每日按罚款数额的百分之三加处罚款，并依法申请人民法院强制执行。 </w:t>
      </w:r>
    </w:p>
    <w:p w14:paraId="0A1BB177">
      <w:pPr>
        <w:keepNext w:val="0"/>
        <w:keepLines w:val="0"/>
        <w:pageBreakBefore w:val="0"/>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当事人如不服本行政处罚决定，可以在收到本行政处罚决定书之日起六十日内向福建省人民政府申请行政复议；也可以在六个月内依法向</w:t>
      </w:r>
      <w:r>
        <w:rPr>
          <w:rFonts w:hint="default" w:ascii="Times New Roman" w:hAnsi="Times New Roman" w:eastAsia="仿宋_GB2312" w:cs="Times New Roman"/>
          <w:color w:val="000000"/>
          <w:sz w:val="32"/>
          <w:szCs w:val="32"/>
          <w:lang w:eastAsia="zh-CN"/>
        </w:rPr>
        <w:t>福州市鼓楼区</w:t>
      </w:r>
      <w:r>
        <w:rPr>
          <w:rFonts w:hint="default" w:ascii="Times New Roman" w:hAnsi="Times New Roman" w:eastAsia="仿宋_GB2312" w:cs="Times New Roman"/>
          <w:color w:val="000000"/>
          <w:sz w:val="32"/>
          <w:szCs w:val="32"/>
        </w:rPr>
        <w:t>人民法院提起行政诉讼。申请行政复议或者提起行政诉讼期间，行政处罚不停止执行。</w:t>
      </w:r>
    </w:p>
    <w:p w14:paraId="78BE57B2">
      <w:pPr>
        <w:keepNext w:val="0"/>
        <w:keepLines w:val="0"/>
        <w:pageBreakBefore w:val="0"/>
        <w:kinsoku/>
        <w:wordWrap/>
        <w:overflowPunct/>
        <w:topLinePunct w:val="0"/>
        <w:autoSpaceDE/>
        <w:autoSpaceDN/>
        <w:bidi w:val="0"/>
        <w:snapToGrid w:val="0"/>
        <w:spacing w:line="576" w:lineRule="exact"/>
        <w:ind w:right="1280"/>
        <w:textAlignment w:val="auto"/>
        <w:rPr>
          <w:rFonts w:hint="default" w:ascii="Times New Roman" w:hAnsi="Times New Roman" w:eastAsia="仿宋_GB2312" w:cs="Times New Roman"/>
          <w:sz w:val="32"/>
          <w:szCs w:val="32"/>
        </w:rPr>
      </w:pPr>
    </w:p>
    <w:p w14:paraId="76FCEDD7">
      <w:pPr>
        <w:keepNext w:val="0"/>
        <w:keepLines w:val="0"/>
        <w:pageBreakBefore w:val="0"/>
        <w:kinsoku/>
        <w:wordWrap/>
        <w:overflowPunct/>
        <w:topLinePunct w:val="0"/>
        <w:autoSpaceDE/>
        <w:autoSpaceDN/>
        <w:bidi w:val="0"/>
        <w:snapToGrid w:val="0"/>
        <w:spacing w:line="576" w:lineRule="exact"/>
        <w:jc w:val="center"/>
        <w:textAlignment w:val="auto"/>
        <w:rPr>
          <w:rFonts w:hint="default" w:ascii="Times New Roman" w:hAnsi="Times New Roman" w:eastAsia="仿宋_GB2312" w:cs="Times New Roman"/>
          <w:sz w:val="32"/>
          <w:szCs w:val="32"/>
        </w:rPr>
      </w:pPr>
    </w:p>
    <w:p w14:paraId="1912EC1A">
      <w:pPr>
        <w:keepNext w:val="0"/>
        <w:keepLines w:val="0"/>
        <w:pageBreakBefore w:val="0"/>
        <w:kinsoku/>
        <w:wordWrap/>
        <w:overflowPunct/>
        <w:topLinePunct w:val="0"/>
        <w:autoSpaceDE/>
        <w:autoSpaceDN/>
        <w:bidi w:val="0"/>
        <w:snapToGrid w:val="0"/>
        <w:spacing w:line="576" w:lineRule="exact"/>
        <w:jc w:val="both"/>
        <w:textAlignment w:val="auto"/>
        <w:rPr>
          <w:rFonts w:hint="default" w:ascii="Times New Roman" w:hAnsi="Times New Roman" w:eastAsia="仿宋_GB2312" w:cs="Times New Roman"/>
          <w:sz w:val="32"/>
          <w:szCs w:val="32"/>
        </w:rPr>
      </w:pPr>
    </w:p>
    <w:p w14:paraId="572E120D">
      <w:pPr>
        <w:keepNext w:val="0"/>
        <w:keepLines w:val="0"/>
        <w:pageBreakBefore w:val="0"/>
        <w:kinsoku/>
        <w:wordWrap/>
        <w:overflowPunct/>
        <w:topLinePunct w:val="0"/>
        <w:autoSpaceDE/>
        <w:autoSpaceDN/>
        <w:bidi w:val="0"/>
        <w:adjustRightInd w:val="0"/>
        <w:snapToGrid w:val="0"/>
        <w:spacing w:line="576" w:lineRule="exact"/>
        <w:ind w:left="4452" w:leftChars="2120" w:firstLine="320" w:firstLine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福建省药品监督管理局</w:t>
      </w:r>
    </w:p>
    <w:p w14:paraId="0CA1258E">
      <w:pPr>
        <w:keepNext w:val="0"/>
        <w:keepLines w:val="0"/>
        <w:pageBreakBefore w:val="0"/>
        <w:kinsoku/>
        <w:wordWrap/>
        <w:overflowPunct/>
        <w:topLinePunct w:val="0"/>
        <w:autoSpaceDE/>
        <w:autoSpaceDN/>
        <w:bidi w:val="0"/>
        <w:adjustRightInd w:val="0"/>
        <w:snapToGrid w:val="0"/>
        <w:spacing w:line="576" w:lineRule="exact"/>
        <w:ind w:left="4452" w:leftChars="212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 xml:space="preserve"> 23 </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 xml:space="preserve"> </w:t>
      </w:r>
    </w:p>
    <w:p w14:paraId="52F0002A">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7E1984F6">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20E141C4">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7F15B4D0">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sz w:val="32"/>
          <w:szCs w:val="32"/>
          <w:lang w:val="en-US" w:eastAsia="zh-CN"/>
        </w:rPr>
      </w:pPr>
    </w:p>
    <w:p w14:paraId="6FEF50D2">
      <w:pPr>
        <w:keepNext w:val="0"/>
        <w:keepLines w:val="0"/>
        <w:pageBreakBefore w:val="0"/>
        <w:kinsoku/>
        <w:wordWrap/>
        <w:overflowPunct/>
        <w:topLinePunct w:val="0"/>
        <w:autoSpaceDE/>
        <w:autoSpaceDN/>
        <w:bidi w:val="0"/>
        <w:adjustRightInd w:val="0"/>
        <w:snapToGrid w:val="0"/>
        <w:spacing w:line="576" w:lineRule="exact"/>
        <w:textAlignment w:val="auto"/>
        <w:rPr>
          <w:rFonts w:hint="default" w:ascii="Times New Roman" w:hAnsi="Times New Roman" w:eastAsia="仿宋" w:cs="Times New Roman"/>
          <w:kern w:val="0"/>
          <w:sz w:val="30"/>
          <w:szCs w:val="30"/>
        </w:rPr>
      </w:pPr>
      <w:r>
        <w:rPr>
          <w:rFonts w:hint="default" w:ascii="Times New Roman" w:hAnsi="Times New Roman" w:eastAsia="黑体" w:cs="Times New Roman"/>
          <w:kern w:val="0"/>
          <w:sz w:val="30"/>
          <w:szCs w:val="30"/>
        </w:rPr>
        <w:t>(药品监督管理部门将依法向社会公示本行政处罚决定信息)</w:t>
      </w:r>
    </w:p>
    <w:p w14:paraId="5CFC1CF0">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华文仿宋" w:cs="Times New Roman"/>
          <w:kern w:val="0"/>
          <w:sz w:val="32"/>
          <w:szCs w:val="32"/>
        </w:rPr>
      </w:pPr>
      <w:r>
        <w:rPr>
          <w:rFonts w:hint="default" w:ascii="Times New Roman" w:hAnsi="Times New Roman" w:cs="Times New Roman"/>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XU4bVAAAABgEAAA8AAAAAAAAAAQAgAAAA&#10;IgAAAGRycy9kb3ducmV2LnhtbFBLAQIUABQAAAAIAIdO4kBSZehCDgIAAO0DAAAOAAAAAAAAAAEA&#10;IAAAACQBAABkcnMvZTJvRG9jLnhtbFBLBQYAAAAABgAGAFkBAACkBQAAAAA=&#10;">
                <v:fill on="f" focussize="0,0"/>
                <v:stroke weight="1.5pt" color="#000000" miterlimit="8" joinstyle="miter"/>
                <v:imagedata o:title=""/>
                <o:lock v:ext="edit" aspectratio="f"/>
              </v:line>
            </w:pict>
          </mc:Fallback>
        </mc:AlternateContent>
      </w:r>
      <w:r>
        <w:rPr>
          <w:rFonts w:hint="default" w:ascii="Times New Roman" w:hAnsi="Times New Roman" w:eastAsia="仿宋_GB2312" w:cs="Times New Roman"/>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kern w:val="0"/>
          <w:sz w:val="32"/>
          <w:szCs w:val="32"/>
        </w:rPr>
        <w:t>本文书一式</w:t>
      </w:r>
      <w:r>
        <w:rPr>
          <w:rFonts w:hint="default" w:ascii="Times New Roman" w:hAnsi="Times New Roman" w:eastAsia="仿宋_GB2312" w:cs="Times New Roman"/>
          <w:color w:val="000000"/>
          <w:kern w:val="0"/>
          <w:sz w:val="32"/>
          <w:szCs w:val="32"/>
          <w:u w:val="single"/>
        </w:rPr>
        <w:t xml:space="preserve"> 二 </w:t>
      </w:r>
      <w:r>
        <w:rPr>
          <w:rFonts w:hint="default" w:ascii="Times New Roman" w:hAnsi="Times New Roman" w:eastAsia="仿宋_GB2312" w:cs="Times New Roman"/>
          <w:color w:val="000000"/>
          <w:kern w:val="0"/>
          <w:sz w:val="32"/>
          <w:szCs w:val="32"/>
        </w:rPr>
        <w:t>份，</w:t>
      </w:r>
      <w:r>
        <w:rPr>
          <w:rFonts w:hint="default" w:ascii="Times New Roman" w:hAnsi="Times New Roman" w:eastAsia="仿宋_GB2312" w:cs="Times New Roman"/>
          <w:color w:val="000000"/>
          <w:kern w:val="0"/>
          <w:sz w:val="32"/>
          <w:szCs w:val="32"/>
          <w:u w:val="single"/>
        </w:rPr>
        <w:t>一</w:t>
      </w:r>
      <w:r>
        <w:rPr>
          <w:rFonts w:hint="default" w:ascii="Times New Roman" w:hAnsi="Times New Roman" w:eastAsia="仿宋_GB2312" w:cs="Times New Roman"/>
          <w:color w:val="000000"/>
          <w:kern w:val="0"/>
          <w:sz w:val="32"/>
          <w:szCs w:val="32"/>
        </w:rPr>
        <w:t>份送达，</w:t>
      </w:r>
      <w:r>
        <w:rPr>
          <w:rFonts w:hint="default" w:ascii="Times New Roman" w:hAnsi="Times New Roman" w:eastAsia="仿宋_GB2312" w:cs="Times New Roman"/>
          <w:color w:val="000000"/>
          <w:kern w:val="0"/>
          <w:sz w:val="32"/>
          <w:szCs w:val="32"/>
          <w:u w:val="single"/>
        </w:rPr>
        <w:t>一</w:t>
      </w:r>
      <w:r>
        <w:rPr>
          <w:rFonts w:hint="default" w:ascii="Times New Roman" w:hAnsi="Times New Roman" w:eastAsia="仿宋_GB2312" w:cs="Times New Roman"/>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F925AB-2AB6-4CE4-8EDD-32E9BFE6E2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ngal">
    <w:altName w:val="DejaVu Math TeX Gyre"/>
    <w:panose1 w:val="02040503050203030202"/>
    <w:charset w:val="01"/>
    <w:family w:val="roman"/>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embedRegular r:id="rId2" w:fontKey="{8E434F93-7A32-460B-BFBC-B4EAB4341918}"/>
  </w:font>
  <w:font w:name="方正公文小标宋">
    <w:panose1 w:val="02000500000000000000"/>
    <w:charset w:val="86"/>
    <w:family w:val="auto"/>
    <w:pitch w:val="default"/>
    <w:sig w:usb0="A00002BF" w:usb1="38CF7CFA" w:usb2="00000016" w:usb3="00000000" w:csb0="00040001" w:csb1="00000000"/>
    <w:embedRegular r:id="rId3" w:fontKey="{161D8EF5-EC5A-41FD-8635-F38E962BE4B8}"/>
  </w:font>
  <w:font w:name="楷体">
    <w:panose1 w:val="02010609060101010101"/>
    <w:charset w:val="86"/>
    <w:family w:val="modern"/>
    <w:pitch w:val="default"/>
    <w:sig w:usb0="800002BF" w:usb1="38CF7CFA" w:usb2="00000016" w:usb3="00000000" w:csb0="00040001" w:csb1="00000000"/>
    <w:embedRegular r:id="rId4" w:fontKey="{0717EBC7-854D-4C81-AABF-9FCC03D06CE2}"/>
  </w:font>
  <w:font w:name="仿宋_GB2312">
    <w:panose1 w:val="02010609030101010101"/>
    <w:charset w:val="86"/>
    <w:family w:val="auto"/>
    <w:pitch w:val="default"/>
    <w:sig w:usb0="00000001" w:usb1="080E0000" w:usb2="00000000" w:usb3="00000000" w:csb0="00040000" w:csb1="00000000"/>
    <w:embedRegular r:id="rId5" w:fontKey="{6BBDA32D-668C-4FA1-A52C-319CB65C1808}"/>
  </w:font>
  <w:font w:name="仿宋">
    <w:panose1 w:val="02010609060101010101"/>
    <w:charset w:val="86"/>
    <w:family w:val="auto"/>
    <w:pitch w:val="default"/>
    <w:sig w:usb0="800002BF" w:usb1="38CF7CFA" w:usb2="00000016" w:usb3="00000000" w:csb0="00040001" w:csb1="00000000"/>
    <w:embedRegular r:id="rId6" w:fontKey="{F04EBDAD-3478-481B-B567-952F798F3A43}"/>
  </w:font>
  <w:font w:name="华文仿宋">
    <w:panose1 w:val="02010600040101010101"/>
    <w:charset w:val="86"/>
    <w:family w:val="auto"/>
    <w:pitch w:val="default"/>
    <w:sig w:usb0="00000287" w:usb1="080F0000" w:usb2="00000000" w:usb3="00000000" w:csb0="0004009F" w:csb1="DFD70000"/>
    <w:embedRegular r:id="rId7" w:fontKey="{3D01F869-9538-4714-8809-ED71427BD261}"/>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BB6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053D9">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4053D9">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2NDc0ZTdlY2Q3ZmIyNjY4ZDNmMDJiZjUzZWI3ZDEifQ=="/>
  </w:docVars>
  <w:rsids>
    <w:rsidRoot w:val="0002063B"/>
    <w:rsid w:val="0002063B"/>
    <w:rsid w:val="00097132"/>
    <w:rsid w:val="000B736D"/>
    <w:rsid w:val="001C7F82"/>
    <w:rsid w:val="00264DC4"/>
    <w:rsid w:val="004018FE"/>
    <w:rsid w:val="00451A1C"/>
    <w:rsid w:val="0051340F"/>
    <w:rsid w:val="00514BBF"/>
    <w:rsid w:val="005A545E"/>
    <w:rsid w:val="005D23BD"/>
    <w:rsid w:val="005F33B0"/>
    <w:rsid w:val="00614906"/>
    <w:rsid w:val="006313F9"/>
    <w:rsid w:val="00652143"/>
    <w:rsid w:val="0071511F"/>
    <w:rsid w:val="00754926"/>
    <w:rsid w:val="00790DEA"/>
    <w:rsid w:val="007D22F2"/>
    <w:rsid w:val="007F0305"/>
    <w:rsid w:val="008B2664"/>
    <w:rsid w:val="008E6D45"/>
    <w:rsid w:val="0092727E"/>
    <w:rsid w:val="00971BBF"/>
    <w:rsid w:val="009A551C"/>
    <w:rsid w:val="009B1D01"/>
    <w:rsid w:val="00A04786"/>
    <w:rsid w:val="00A309FE"/>
    <w:rsid w:val="00AD06FB"/>
    <w:rsid w:val="00C01643"/>
    <w:rsid w:val="00C2787F"/>
    <w:rsid w:val="00C33120"/>
    <w:rsid w:val="00C87535"/>
    <w:rsid w:val="00EB6CC0"/>
    <w:rsid w:val="00FA71EB"/>
    <w:rsid w:val="05524952"/>
    <w:rsid w:val="06376FDB"/>
    <w:rsid w:val="0E594F58"/>
    <w:rsid w:val="1BD20890"/>
    <w:rsid w:val="2D8C30C0"/>
    <w:rsid w:val="2F7F31B8"/>
    <w:rsid w:val="38C210B2"/>
    <w:rsid w:val="39393B75"/>
    <w:rsid w:val="3EED471C"/>
    <w:rsid w:val="3F585205"/>
    <w:rsid w:val="4BAF5BE4"/>
    <w:rsid w:val="50BA4CC0"/>
    <w:rsid w:val="597D780F"/>
    <w:rsid w:val="5CAF070E"/>
    <w:rsid w:val="5FF3D84E"/>
    <w:rsid w:val="64454CD9"/>
    <w:rsid w:val="6BFFAF98"/>
    <w:rsid w:val="6DF4F3FD"/>
    <w:rsid w:val="6E837EF4"/>
    <w:rsid w:val="71221260"/>
    <w:rsid w:val="7CD9253E"/>
    <w:rsid w:val="7E3BB5BB"/>
    <w:rsid w:val="B7EDFFE5"/>
    <w:rsid w:val="EB1DB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12"/>
    <w:autoRedefine/>
    <w:qFormat/>
    <w:uiPriority w:val="0"/>
    <w:pPr>
      <w:ind w:left="220"/>
      <w:jc w:val="left"/>
    </w:pPr>
    <w:rPr>
      <w:rFonts w:ascii="宋体" w:hAnsi="宋体"/>
      <w:kern w:val="0"/>
      <w:sz w:val="32"/>
      <w:szCs w:val="32"/>
      <w:lang w:eastAsia="en-US"/>
    </w:rPr>
  </w:style>
  <w:style w:type="paragraph" w:styleId="4">
    <w:name w:val="footer"/>
    <w:basedOn w:val="1"/>
    <w:link w:val="10"/>
    <w:autoRedefine/>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autoRedefine/>
    <w:qFormat/>
    <w:uiPriority w:val="99"/>
    <w:rPr>
      <w:sz w:val="18"/>
      <w:szCs w:val="18"/>
    </w:rPr>
  </w:style>
  <w:style w:type="character" w:customStyle="1" w:styleId="11">
    <w:name w:val="标题 1 字符"/>
    <w:basedOn w:val="8"/>
    <w:link w:val="2"/>
    <w:autoRedefine/>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autoRedefine/>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2341</Words>
  <Characters>2596</Characters>
  <Lines>22</Lines>
  <Paragraphs>6</Paragraphs>
  <TotalTime>25</TotalTime>
  <ScaleCrop>false</ScaleCrop>
  <LinksUpToDate>false</LinksUpToDate>
  <CharactersWithSpaces>2602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2022-12-27T16:41:00Z</dcterms:created>
  <dc:creator>wang lichao</dc:creator>
  <cp:lastModifiedBy>王力超</cp:lastModifiedBy>
  <cp:lastPrinted>2022-12-30T01:09:00Z</cp:lastPrinted>
  <dcterms:modified xsi:type="dcterms:W3CDTF">2026-09-28T08:20:36Z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B3191A28CE0892D3130B0565A501DCF5</vt:lpwstr>
  </property>
  <property fmtid="{D5CDD505-2E9C-101B-9397-08002B2CF9AE}" pid="4" name="KSOTemplateDocerSaveRecord">
    <vt:lpwstr>eyJoZGlkIjoiNjZhZGQ1YTgwYzFlNWQ5NmYyYTM0ZjQxZjI2MzRkMzIiLCJ1c2VySWQiOiIxNDU0Mjk3MjI4In0=</vt:lpwstr>
  </property>
</Properties>
</file>