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 w:bidi="ar"/>
        </w:rPr>
        <w:t>2020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年福建省食品药品认证审评中心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 w:bidi="ar"/>
        </w:rPr>
        <w:t>招聘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合同制专业技术人员岗位信息表</w:t>
      </w:r>
    </w:p>
    <w:tbl>
      <w:tblPr>
        <w:tblStyle w:val="5"/>
        <w:tblpPr w:leftFromText="180" w:rightFromText="180" w:vertAnchor="text" w:horzAnchor="page" w:tblpXSpec="center" w:tblpY="621"/>
        <w:tblOverlap w:val="never"/>
        <w:tblW w:w="157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981"/>
        <w:gridCol w:w="5399"/>
        <w:gridCol w:w="1320"/>
        <w:gridCol w:w="5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5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01药品注册审评员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中药学、中药制药学、中药药理学、中药药剂学、中药生药学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研究生学历，硕士及以上学位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1.35周岁及以下；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2.研究生及本科阶段所学专业应相同或相近；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3.具有药品生产、研发、检验或质量管理工作经验者优先。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02化妆品审评员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化学工程与工艺，化学工程，化学工艺，应用化学，应用化工技术，有机化工生产技术，精细化学品生产技术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1.35周岁及以下；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2.研究生及本科阶段所学专业应相同或相近；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3.具有相关工作经验者优先。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03有源医疗器械技术审评员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医疗器械工程、生物医学工程、电气工程及其自动化（弱电方向）、电气工程与自动化（弱电方向）、电气自动化（弱电方向）、电子信息工程、电子与信息技术、电路与系统、机械电子工程、电磁场与无线技术、无线电技术、电子与通信工程，信号与信息处理，精密仪器及机械，测试计量技术及仪器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1.35周岁及以下；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2.研究生及本科阶段所学专业应相同或相近；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3.医疗器械相关研究方向的优先；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4.具有医疗器械设计、生产、检测、质量管理等相关工作经验者优先。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04体外诊断试剂技术审评员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流行病与卫生统计学、公共卫生与预防医学、公共卫生、卫生检验、卫生毒理学、劳动卫生与环境卫生、儿少卫生与妇幼保健卫生、临床检验诊断学、生物化学与分子生物学、分子生物医学、医学实验学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05药品GMP检查员</w:t>
            </w: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微生物与生化药学、生化制药技术、生物化学与分子生物学、生物医学工程、生物制药工程、生物与医药</w:t>
            </w:r>
          </w:p>
        </w:tc>
        <w:tc>
          <w:tcPr>
            <w:tcW w:w="13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全日制普通高等院校本科学历，学士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学位；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或研究生学历，硕士及以上学位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1.35周岁及以下；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2.本岗位需适应出差，适合男性；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3.本科生需有三年及以上相关工作经验；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4.研究生具有药品生产、研发、质量管理或监管工作经验者优先。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06药品GMP检查员</w:t>
            </w: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中药学、中药制药学、中药药理学、中药药剂学、中药生药学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07药品注册核查员</w:t>
            </w: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药学、药剂学、药物制剂、制药工程、药物分析、中药学、中药制药学、中药药剂学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08药品GSP检查员</w:t>
            </w: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药学、药剂学、药物制剂、制药工程、药物分析、中药学、中药制药学、中药药理学、中药药剂学、中药生药学、药品经营管理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1.35周岁及以下；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2.本岗位需适应出差；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3.本科生需有三年及以上相关工作经验；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4.研究生具有药品经营、质量管理或监管工作经验者优先。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09化妆品检查员</w:t>
            </w: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化学工程与工艺，化学工程，化学工艺，应用化学，应用化工技术，有机化工生产技术，精细化学品生产技术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1.35周岁及以下；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2.本岗位需适应出差；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3.本科生需有三年及以上相关工作经验；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4.研究生具有相关工作经验者优先。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10化妆品检查员</w:t>
            </w: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中药学、中药制药学、中药药理学、中药药剂学、中药生药学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11化妆品检查员</w:t>
            </w: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药学、药剂学、药物制剂、制药工程、药物分析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12医疗器械现场检查员</w:t>
            </w: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生物医学工程、医疗器械制造与维护、医学影像设备管理与维护、医学影像技术、医学影像工程、医学影像学、医疗仪器维修技术、康复医学</w:t>
            </w:r>
          </w:p>
        </w:tc>
        <w:tc>
          <w:tcPr>
            <w:tcW w:w="13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全日制普通高等院校本科学历，学士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学位；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或研究生学历，硕士及以上学位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1.35周岁及以下；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2.本岗位需适应出差，适合男性；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3.本科生需有三年及以上相关工作经验;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4.研究生具有相关工作经验者优先。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13医疗器械现场检查员</w:t>
            </w: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电气工程及其自动化、电气工程与自动化、电气自动化、电子信息工程、电子与信息技术、电路与系统、机械电子工程、电磁场与无线技术、无线电技术、电子与通信工程，信号与信息处理，精密仪器及机械，测试计量技术及仪器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14体外诊断试剂现场检查员</w:t>
            </w: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生物化学与分子生物学、细胞生物学、病原生物学、微生物学、微生物与生化药学、生物科学、生化制药技术、生物制药工程、生物与医药、生物医学工程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15体外诊断试剂现场检查员</w:t>
            </w: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临床检验诊断学、卫生检验、预防医学、公共卫生与预防医学、分子生物医学、医学实验学、医学检验技术、医学实验技术、病理学、卫生检验与检疫（技术）、妇幼保健医学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16体外诊断试剂现场检查员</w:t>
            </w: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药学、药剂学、药物制剂、制药工程、药物分析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sectPr>
      <w:pgSz w:w="16838" w:h="11906" w:orient="landscape"/>
      <w:pgMar w:top="1077" w:right="1304" w:bottom="964" w:left="130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plified Arabic Fixed">
    <w:panose1 w:val="02070309020205020404"/>
    <w:charset w:val="00"/>
    <w:family w:val="modern"/>
    <w:pitch w:val="default"/>
    <w:sig w:usb0="00002003" w:usb1="00000000" w:usb2="00000000" w:usb3="00000000" w:csb0="00000041" w:csb1="200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F176C"/>
    <w:rsid w:val="00A45760"/>
    <w:rsid w:val="00B201CE"/>
    <w:rsid w:val="067C0FCF"/>
    <w:rsid w:val="069449B6"/>
    <w:rsid w:val="08172D2B"/>
    <w:rsid w:val="0D4673F3"/>
    <w:rsid w:val="0F46503C"/>
    <w:rsid w:val="0FA83A7D"/>
    <w:rsid w:val="110F5667"/>
    <w:rsid w:val="124869A1"/>
    <w:rsid w:val="1251270D"/>
    <w:rsid w:val="161B7F45"/>
    <w:rsid w:val="1776069D"/>
    <w:rsid w:val="1A3804C9"/>
    <w:rsid w:val="1BDD09C2"/>
    <w:rsid w:val="1EB12B89"/>
    <w:rsid w:val="1EF93CDC"/>
    <w:rsid w:val="23C60511"/>
    <w:rsid w:val="244420B4"/>
    <w:rsid w:val="257867E2"/>
    <w:rsid w:val="258813A2"/>
    <w:rsid w:val="26895F5B"/>
    <w:rsid w:val="2B4674F4"/>
    <w:rsid w:val="2F4142F3"/>
    <w:rsid w:val="31EA5AB2"/>
    <w:rsid w:val="338E6647"/>
    <w:rsid w:val="34534384"/>
    <w:rsid w:val="347126D6"/>
    <w:rsid w:val="35F80662"/>
    <w:rsid w:val="38575E66"/>
    <w:rsid w:val="3D051A4C"/>
    <w:rsid w:val="3D3C46BC"/>
    <w:rsid w:val="3D6E634E"/>
    <w:rsid w:val="405D1774"/>
    <w:rsid w:val="410A6FE1"/>
    <w:rsid w:val="427259D1"/>
    <w:rsid w:val="48CD3C93"/>
    <w:rsid w:val="492B3FF1"/>
    <w:rsid w:val="4A437BB9"/>
    <w:rsid w:val="4B9760FC"/>
    <w:rsid w:val="54F27420"/>
    <w:rsid w:val="59F00082"/>
    <w:rsid w:val="5A7E6BF4"/>
    <w:rsid w:val="5C9532D1"/>
    <w:rsid w:val="5D0938CF"/>
    <w:rsid w:val="5D7F176C"/>
    <w:rsid w:val="5E96558D"/>
    <w:rsid w:val="5FEE51E5"/>
    <w:rsid w:val="62225798"/>
    <w:rsid w:val="6E0010E6"/>
    <w:rsid w:val="6E0836A8"/>
    <w:rsid w:val="70E9237E"/>
    <w:rsid w:val="72290242"/>
    <w:rsid w:val="745E7C3E"/>
    <w:rsid w:val="7B712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2018-02-14T08:37:00Z</dcterms:created>
  <dc:creator>认证审评</dc:creator>
  <cp:lastModifiedBy>Lenovo</cp:lastModifiedBy>
  <cp:lastPrinted>2020-04-07T08:20:00Z</cp:lastPrinted>
  <dcterms:modified xsi:type="dcterms:W3CDTF">2020-04-08T00:25:53Z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