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exact"/>
        <w:ind w:left="0" w:right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 w:bidi="ar-SA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3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 w:bidi="ar-SA"/>
        </w:rPr>
      </w:pP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exact"/>
        <w:ind w:left="0" w:right="0"/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 w:bidi="ar-SA"/>
        </w:rPr>
        <w:t>省内跨区域经营食盐批发企业相关信息（福建省泉州晶海轻化有限公司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eastAsia="zh-CN" w:bidi="ar-SA"/>
        </w:rPr>
        <w:t>）</w:t>
      </w:r>
    </w:p>
    <w:p/>
    <w:p>
      <w:r>
        <w:drawing>
          <wp:inline distT="0" distB="0" distL="114300" distR="114300">
            <wp:extent cx="5255895" cy="6769100"/>
            <wp:effectExtent l="0" t="0" r="190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676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346575"/>
            <wp:effectExtent l="0" t="0" r="381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F4225D"/>
    <w:rsid w:val="18683EA2"/>
    <w:rsid w:val="55E747A4"/>
    <w:rsid w:val="65015F63"/>
    <w:rsid w:val="7A880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dcterms:modified xsi:type="dcterms:W3CDTF">2018-12-13T01:43:19Z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