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仿宋_GB2312" w:hAnsi="宋体" w:eastAsia="仿宋_GB2312"/>
          <w:b/>
          <w:bCs w:val="0"/>
          <w:w w:val="85"/>
          <w:sz w:val="36"/>
          <w:szCs w:val="36"/>
          <w:lang w:val="en-US" w:eastAsia="zh-CN"/>
        </w:rPr>
      </w:pPr>
      <w:r>
        <w:rPr>
          <w:rFonts w:hint="eastAsia" w:ascii="仿宋_GB2312" w:hAnsi="宋体" w:eastAsia="仿宋_GB2312"/>
          <w:b/>
          <w:bCs w:val="0"/>
          <w:w w:val="85"/>
          <w:sz w:val="36"/>
          <w:szCs w:val="36"/>
          <w:lang w:val="en-US" w:eastAsia="zh-CN"/>
        </w:rPr>
        <w:t>对壹鼎众康（厦门）生物科技股份有限公司双随机检查通报</w:t>
      </w:r>
    </w:p>
    <w:tbl>
      <w:tblPr>
        <w:tblStyle w:val="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848"/>
        <w:gridCol w:w="945"/>
        <w:gridCol w:w="1837"/>
        <w:gridCol w:w="1152"/>
        <w:gridCol w:w="170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364" w:type="dxa"/>
            <w:gridSpan w:val="4"/>
            <w:vAlign w:val="center"/>
          </w:tcPr>
          <w:p>
            <w:pPr>
              <w:spacing w:line="520" w:lineRule="exact"/>
              <w:jc w:val="center"/>
              <w:rPr>
                <w:szCs w:val="24"/>
              </w:rPr>
            </w:pPr>
            <w:r>
              <w:rPr>
                <w:rFonts w:ascii="??_GB2312" w:eastAsia="Times New Roman"/>
                <w:sz w:val="28"/>
                <w:szCs w:val="28"/>
              </w:rPr>
              <w:t>企业名称</w:t>
            </w:r>
          </w:p>
        </w:tc>
        <w:tc>
          <w:tcPr>
            <w:tcW w:w="2989"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壹鼎众康（厦门）生物科技股份有限公司</w:t>
            </w:r>
          </w:p>
        </w:tc>
        <w:tc>
          <w:tcPr>
            <w:tcW w:w="170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20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林建勇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364" w:type="dxa"/>
            <w:gridSpan w:val="4"/>
            <w:vAlign w:val="center"/>
          </w:tcPr>
          <w:p>
            <w:pPr>
              <w:spacing w:line="400" w:lineRule="exact"/>
              <w:jc w:val="center"/>
              <w:rPr>
                <w:rFonts w:ascii="??_GB2312" w:eastAsia="Times New Roman"/>
                <w:sz w:val="28"/>
                <w:szCs w:val="28"/>
              </w:rPr>
            </w:pPr>
            <w:r>
              <w:rPr>
                <w:rFonts w:ascii="??_GB2312" w:eastAsia="Times New Roman"/>
                <w:sz w:val="28"/>
                <w:szCs w:val="28"/>
              </w:rPr>
              <w:t>企业负责人</w:t>
            </w:r>
          </w:p>
        </w:tc>
        <w:tc>
          <w:tcPr>
            <w:tcW w:w="183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周晓丹</w:t>
            </w:r>
          </w:p>
        </w:tc>
        <w:tc>
          <w:tcPr>
            <w:tcW w:w="115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3761" w:type="dxa"/>
            <w:gridSpan w:val="2"/>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4" w:type="dxa"/>
            <w:gridSpan w:val="4"/>
            <w:vAlign w:val="center"/>
          </w:tcPr>
          <w:p>
            <w:pPr>
              <w:spacing w:line="400" w:lineRule="exact"/>
              <w:jc w:val="center"/>
              <w:rPr>
                <w:rFonts w:ascii="??_GB2312" w:eastAsia="Times New Roman"/>
                <w:sz w:val="28"/>
                <w:szCs w:val="28"/>
              </w:rPr>
            </w:pPr>
            <w:r>
              <w:rPr>
                <w:rFonts w:ascii="??_GB2312" w:eastAsia="Times New Roman"/>
                <w:sz w:val="28"/>
                <w:szCs w:val="28"/>
              </w:rPr>
              <w:t>管理者代表</w:t>
            </w:r>
          </w:p>
        </w:tc>
        <w:tc>
          <w:tcPr>
            <w:tcW w:w="183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沈良俊</w:t>
            </w:r>
          </w:p>
        </w:tc>
        <w:tc>
          <w:tcPr>
            <w:tcW w:w="115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3761" w:type="dxa"/>
            <w:gridSpan w:val="2"/>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364" w:type="dxa"/>
            <w:gridSpan w:val="4"/>
            <w:vAlign w:val="center"/>
          </w:tcPr>
          <w:p>
            <w:pPr>
              <w:spacing w:line="400" w:lineRule="exact"/>
              <w:jc w:val="center"/>
              <w:rPr>
                <w:szCs w:val="24"/>
              </w:rPr>
            </w:pPr>
            <w:r>
              <w:rPr>
                <w:rFonts w:ascii="??_GB2312" w:eastAsia="Times New Roman"/>
                <w:sz w:val="28"/>
                <w:szCs w:val="28"/>
              </w:rPr>
              <w:t xml:space="preserve"> 注册地址</w:t>
            </w:r>
          </w:p>
        </w:tc>
        <w:tc>
          <w:tcPr>
            <w:tcW w:w="6750" w:type="dxa"/>
            <w:gridSpan w:val="4"/>
            <w:vAlign w:val="center"/>
          </w:tcPr>
          <w:p>
            <w:pPr>
              <w:jc w:val="left"/>
              <w:rPr>
                <w:rFonts w:hint="eastAsia" w:ascii="仿宋" w:hAnsi="仿宋" w:eastAsia="仿宋" w:cs="仿宋"/>
                <w:sz w:val="28"/>
                <w:szCs w:val="28"/>
              </w:rPr>
            </w:pPr>
            <w:r>
              <w:rPr>
                <w:rFonts w:hint="eastAsia" w:ascii="仿宋" w:hAnsi="仿宋" w:eastAsia="仿宋" w:cs="仿宋"/>
                <w:sz w:val="28"/>
                <w:szCs w:val="28"/>
              </w:rPr>
              <w:t>厦门市海沧区翁角西路2056号厦门生物医药产业园4号楼第4层02单元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364" w:type="dxa"/>
            <w:gridSpan w:val="4"/>
            <w:vAlign w:val="center"/>
          </w:tcPr>
          <w:p>
            <w:pPr>
              <w:spacing w:line="520" w:lineRule="exact"/>
              <w:jc w:val="center"/>
              <w:rPr>
                <w:szCs w:val="24"/>
              </w:rPr>
            </w:pPr>
            <w:r>
              <w:rPr>
                <w:rFonts w:ascii="??_GB2312" w:eastAsia="Times New Roman"/>
                <w:sz w:val="28"/>
                <w:szCs w:val="28"/>
              </w:rPr>
              <w:t>生产地址</w:t>
            </w:r>
          </w:p>
        </w:tc>
        <w:tc>
          <w:tcPr>
            <w:tcW w:w="6750" w:type="dxa"/>
            <w:gridSpan w:val="4"/>
            <w:vAlign w:val="center"/>
          </w:tcPr>
          <w:p>
            <w:pPr>
              <w:jc w:val="left"/>
              <w:rPr>
                <w:rFonts w:hint="eastAsia" w:ascii="仿宋" w:hAnsi="仿宋" w:eastAsia="仿宋" w:cs="仿宋"/>
                <w:sz w:val="28"/>
                <w:szCs w:val="28"/>
              </w:rPr>
            </w:pPr>
            <w:r>
              <w:rPr>
                <w:rFonts w:hint="eastAsia" w:ascii="仿宋" w:hAnsi="仿宋" w:eastAsia="仿宋" w:cs="仿宋"/>
                <w:sz w:val="28"/>
                <w:szCs w:val="28"/>
              </w:rPr>
              <w:t>厦门市海沧区翁角西路2056号厦门生物医药产业园4号楼第4层02单元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364" w:type="dxa"/>
            <w:gridSpan w:val="4"/>
            <w:vAlign w:val="center"/>
          </w:tcPr>
          <w:p>
            <w:pPr>
              <w:spacing w:line="520" w:lineRule="exact"/>
              <w:jc w:val="center"/>
              <w:rPr>
                <w:szCs w:val="24"/>
              </w:rPr>
            </w:pPr>
            <w:r>
              <w:rPr>
                <w:rFonts w:ascii="??_GB2312" w:eastAsia="Times New Roman"/>
                <w:sz w:val="28"/>
                <w:szCs w:val="28"/>
              </w:rPr>
              <w:t>检查日期</w:t>
            </w:r>
          </w:p>
        </w:tc>
        <w:tc>
          <w:tcPr>
            <w:tcW w:w="6750" w:type="dxa"/>
            <w:gridSpan w:val="4"/>
            <w:vAlign w:val="center"/>
          </w:tcPr>
          <w:p>
            <w:pPr>
              <w:jc w:val="left"/>
              <w:rPr>
                <w:rFonts w:hint="eastAsia" w:ascii="仿宋" w:hAnsi="仿宋" w:eastAsia="仿宋" w:cs="仿宋"/>
                <w:sz w:val="28"/>
                <w:szCs w:val="28"/>
              </w:rPr>
            </w:pPr>
            <w:r>
              <w:rPr>
                <w:rFonts w:hint="eastAsia" w:ascii="仿宋" w:hAnsi="仿宋" w:eastAsia="仿宋" w:cs="仿宋"/>
                <w:sz w:val="28"/>
                <w:szCs w:val="28"/>
              </w:rPr>
              <w:t>2018年6月6日至</w:t>
            </w:r>
            <w:r>
              <w:rPr>
                <w:rFonts w:hint="eastAsia" w:ascii="仿宋" w:hAnsi="仿宋" w:eastAsia="仿宋" w:cs="仿宋"/>
                <w:sz w:val="28"/>
                <w:szCs w:val="28"/>
                <w:lang w:val="en-US" w:eastAsia="zh-CN"/>
              </w:rPr>
              <w:t>6月</w:t>
            </w:r>
            <w:r>
              <w:rPr>
                <w:rFonts w:hint="eastAsia" w:ascii="仿宋" w:hAnsi="仿宋" w:eastAsia="仿宋" w:cs="仿宋"/>
                <w:sz w:val="28"/>
                <w:szCs w:val="28"/>
              </w:rPr>
              <w:t>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364" w:type="dxa"/>
            <w:gridSpan w:val="4"/>
            <w:vAlign w:val="center"/>
          </w:tcPr>
          <w:p>
            <w:pPr>
              <w:spacing w:line="520" w:lineRule="exact"/>
              <w:jc w:val="center"/>
              <w:rPr>
                <w:szCs w:val="24"/>
              </w:rPr>
            </w:pPr>
            <w:r>
              <w:rPr>
                <w:rFonts w:ascii="??_GB2312" w:eastAsia="Times New Roman"/>
                <w:sz w:val="28"/>
                <w:szCs w:val="28"/>
              </w:rPr>
              <w:t>产品类别</w:t>
            </w:r>
          </w:p>
        </w:tc>
        <w:tc>
          <w:tcPr>
            <w:tcW w:w="6750" w:type="dxa"/>
            <w:gridSpan w:val="4"/>
          </w:tcPr>
          <w:p>
            <w:pPr>
              <w:spacing w:line="520" w:lineRule="exact"/>
              <w:rPr>
                <w:rFonts w:hint="eastAsia" w:ascii="仿宋" w:hAnsi="仿宋" w:eastAsia="仿宋" w:cs="仿宋"/>
                <w:sz w:val="28"/>
                <w:szCs w:val="28"/>
              </w:rPr>
            </w:pPr>
            <w:r>
              <w:rPr>
                <w:rFonts w:hint="eastAsia" w:ascii="仿宋" w:hAnsi="仿宋" w:eastAsia="仿宋" w:cs="仿宋"/>
                <w:bCs/>
                <w:sz w:val="28"/>
                <w:szCs w:val="28"/>
              </w:rPr>
              <w:t xml:space="preserve">√无菌医疗器械  □植入性医疗器械 □体外诊断试剂   □定制式义齿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364" w:type="dxa"/>
            <w:gridSpan w:val="4"/>
            <w:vAlign w:val="center"/>
          </w:tcPr>
          <w:p>
            <w:pPr>
              <w:spacing w:line="520" w:lineRule="exact"/>
              <w:jc w:val="center"/>
              <w:rPr>
                <w:rFonts w:ascii="??_GB2312" w:eastAsia="Times New Roman"/>
                <w:sz w:val="28"/>
                <w:szCs w:val="28"/>
              </w:rPr>
            </w:pPr>
            <w:r>
              <w:rPr>
                <w:rFonts w:ascii="??_GB2312" w:eastAsia="Times New Roman"/>
                <w:sz w:val="28"/>
                <w:szCs w:val="28"/>
              </w:rPr>
              <w:t>抽查产品</w:t>
            </w:r>
          </w:p>
          <w:p>
            <w:pPr>
              <w:spacing w:line="520" w:lineRule="exact"/>
              <w:jc w:val="center"/>
              <w:rPr>
                <w:szCs w:val="24"/>
              </w:rPr>
            </w:pPr>
            <w:r>
              <w:rPr>
                <w:rFonts w:ascii="??_GB2312" w:eastAsia="Times New Roman"/>
                <w:sz w:val="28"/>
                <w:szCs w:val="28"/>
              </w:rPr>
              <w:t>名称</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bCs/>
                <w:sz w:val="28"/>
                <w:szCs w:val="28"/>
              </w:rPr>
              <w:t>伤口敷料、透明敷料、一次性使用中心静脉置管换药包、创口贴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4" w:type="dxa"/>
            <w:gridSpan w:val="4"/>
            <w:vAlign w:val="center"/>
          </w:tcPr>
          <w:p>
            <w:pPr>
              <w:spacing w:line="520" w:lineRule="exact"/>
              <w:jc w:val="center"/>
              <w:rPr>
                <w:szCs w:val="24"/>
              </w:rPr>
            </w:pPr>
            <w:r>
              <w:rPr>
                <w:rFonts w:ascii="??_GB2312" w:eastAsia="Times New Roman"/>
                <w:sz w:val="28"/>
                <w:szCs w:val="28"/>
              </w:rPr>
              <w:t>检查目的和范围</w:t>
            </w:r>
          </w:p>
        </w:tc>
        <w:tc>
          <w:tcPr>
            <w:tcW w:w="6750" w:type="dxa"/>
            <w:gridSpan w:val="4"/>
          </w:tcPr>
          <w:p>
            <w:pPr>
              <w:rPr>
                <w:rFonts w:hint="eastAsia" w:ascii="仿宋" w:hAnsi="仿宋" w:eastAsia="仿宋" w:cs="仿宋"/>
                <w:sz w:val="28"/>
                <w:szCs w:val="28"/>
              </w:rPr>
            </w:pPr>
            <w:r>
              <w:rPr>
                <w:rFonts w:hint="eastAsia" w:ascii="仿宋" w:hAnsi="仿宋" w:eastAsia="仿宋" w:cs="仿宋"/>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364" w:type="dxa"/>
            <w:gridSpan w:val="4"/>
            <w:vAlign w:val="center"/>
          </w:tcPr>
          <w:p>
            <w:pPr>
              <w:spacing w:line="520" w:lineRule="exact"/>
              <w:jc w:val="center"/>
              <w:rPr>
                <w:szCs w:val="24"/>
              </w:rPr>
            </w:pPr>
            <w:r>
              <w:rPr>
                <w:rFonts w:ascii="??_GB2312" w:eastAsia="Times New Roman"/>
                <w:sz w:val="28"/>
                <w:szCs w:val="28"/>
              </w:rPr>
              <w:t>检查依据</w:t>
            </w:r>
          </w:p>
        </w:tc>
        <w:tc>
          <w:tcPr>
            <w:tcW w:w="6750" w:type="dxa"/>
            <w:gridSpan w:val="4"/>
          </w:tcPr>
          <w:p>
            <w:pPr>
              <w:spacing w:line="520" w:lineRule="exact"/>
              <w:rPr>
                <w:rFonts w:hint="eastAsia"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sz w:val="28"/>
                <w:szCs w:val="28"/>
              </w:rPr>
              <w:t>医疗器械生产质量管理规范（GMP）</w:t>
            </w:r>
          </w:p>
          <w:p>
            <w:pPr>
              <w:spacing w:line="520" w:lineRule="exact"/>
              <w:rPr>
                <w:rFonts w:hint="eastAsia"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sz w:val="28"/>
                <w:szCs w:val="28"/>
              </w:rPr>
              <w:t>医疗器械GMP附录及指导原则无菌医疗器械部分</w:t>
            </w:r>
          </w:p>
          <w:p>
            <w:pPr>
              <w:spacing w:line="520" w:lineRule="exact"/>
              <w:rPr>
                <w:rFonts w:hint="eastAsia" w:ascii="仿宋" w:hAnsi="仿宋" w:eastAsia="仿宋" w:cs="仿宋"/>
                <w:sz w:val="28"/>
                <w:szCs w:val="28"/>
              </w:rPr>
            </w:pPr>
            <w:r>
              <w:rPr>
                <w:rFonts w:hint="eastAsia" w:ascii="仿宋" w:hAnsi="仿宋" w:eastAsia="仿宋" w:cs="仿宋"/>
                <w:sz w:val="28"/>
                <w:szCs w:val="28"/>
              </w:rPr>
              <w:t>□医疗器械GMP附录及指导原则植入性医疗器械部分</w:t>
            </w:r>
          </w:p>
          <w:p>
            <w:pPr>
              <w:spacing w:line="520" w:lineRule="exact"/>
              <w:rPr>
                <w:rFonts w:hint="eastAsia" w:ascii="仿宋" w:hAnsi="仿宋" w:eastAsia="仿宋" w:cs="仿宋"/>
                <w:sz w:val="28"/>
                <w:szCs w:val="28"/>
              </w:rPr>
            </w:pPr>
            <w:r>
              <w:rPr>
                <w:rFonts w:hint="eastAsia" w:ascii="仿宋" w:hAnsi="仿宋" w:eastAsia="仿宋" w:cs="仿宋"/>
                <w:sz w:val="28"/>
                <w:szCs w:val="28"/>
              </w:rPr>
              <w:t>□医疗器械GMP附录及指导原则体外诊断试剂部分</w:t>
            </w:r>
          </w:p>
          <w:p>
            <w:pPr>
              <w:rPr>
                <w:rFonts w:hint="eastAsia" w:ascii="仿宋" w:hAnsi="仿宋" w:eastAsia="仿宋" w:cs="仿宋"/>
                <w:sz w:val="28"/>
                <w:szCs w:val="28"/>
              </w:rPr>
            </w:pPr>
            <w:r>
              <w:rPr>
                <w:rFonts w:hint="eastAsia" w:ascii="仿宋" w:hAnsi="仿宋" w:eastAsia="仿宋" w:cs="仿宋"/>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2364" w:type="dxa"/>
            <w:gridSpan w:val="4"/>
            <w:vAlign w:val="center"/>
          </w:tcPr>
          <w:p>
            <w:pPr>
              <w:spacing w:line="520" w:lineRule="exact"/>
              <w:jc w:val="center"/>
              <w:rPr>
                <w:szCs w:val="24"/>
              </w:rPr>
            </w:pPr>
            <w:r>
              <w:rPr>
                <w:rFonts w:ascii="??_GB2312" w:eastAsia="Times New Roman"/>
                <w:sz w:val="28"/>
                <w:szCs w:val="28"/>
              </w:rPr>
              <w:t>声   明</w:t>
            </w:r>
          </w:p>
        </w:tc>
        <w:tc>
          <w:tcPr>
            <w:tcW w:w="6750" w:type="dxa"/>
            <w:gridSpan w:val="4"/>
          </w:tcPr>
          <w:p>
            <w:pPr>
              <w:snapToGrid w:val="0"/>
              <w:spacing w:line="300" w:lineRule="atLeast"/>
              <w:jc w:val="center"/>
              <w:rPr>
                <w:rFonts w:hint="eastAsia" w:ascii="仿宋" w:hAnsi="仿宋" w:eastAsia="仿宋" w:cs="仿宋"/>
                <w:sz w:val="28"/>
                <w:szCs w:val="28"/>
              </w:rPr>
            </w:pPr>
            <w:r>
              <w:rPr>
                <w:rFonts w:hint="eastAsia" w:ascii="仿宋" w:hAnsi="仿宋" w:eastAsia="仿宋" w:cs="仿宋"/>
                <w:sz w:val="28"/>
                <w:szCs w:val="28"/>
              </w:rPr>
              <w:t>主要缺陷和问题及其判定依据</w:t>
            </w:r>
          </w:p>
          <w:p>
            <w:pPr>
              <w:spacing w:line="520" w:lineRule="exact"/>
              <w:rPr>
                <w:rFonts w:hint="eastAsia" w:ascii="仿宋" w:hAnsi="仿宋" w:eastAsia="仿宋" w:cs="仿宋"/>
                <w:sz w:val="28"/>
                <w:szCs w:val="28"/>
              </w:rPr>
            </w:pPr>
            <w:r>
              <w:rPr>
                <w:rFonts w:hint="eastAsia" w:ascii="仿宋" w:hAnsi="仿宋" w:eastAsia="仿宋" w:cs="仿宋"/>
                <w:sz w:val="28"/>
                <w:szCs w:val="28"/>
              </w:rPr>
              <w:t>本表中所列出的缺陷和问题，只是本次发现，不代表企业缺陷和问题的全部。建立与本企业生产产品特点相适应的质量管理体系并保持其有效运行，是医疗器械生产企业的法定责任。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808" w:type="dxa"/>
            <w:gridSpan w:val="3"/>
            <w:vAlign w:val="center"/>
          </w:tcPr>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sz w:val="28"/>
                <w:szCs w:val="28"/>
              </w:rPr>
              <w:t>依据条款</w:t>
            </w:r>
          </w:p>
        </w:tc>
        <w:tc>
          <w:tcPr>
            <w:tcW w:w="6750" w:type="dxa"/>
            <w:gridSpan w:val="4"/>
            <w:vMerge w:val="restart"/>
            <w:vAlign w:val="center"/>
          </w:tcPr>
          <w:p>
            <w:pPr>
              <w:spacing w:line="520" w:lineRule="exact"/>
              <w:jc w:val="center"/>
              <w:rPr>
                <w:szCs w:val="24"/>
              </w:rPr>
            </w:pPr>
            <w:r>
              <w:rPr>
                <w:rFonts w:ascii="??_GB2312" w:hAnsi="宋体" w:eastAsia="Times New Roman"/>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56" w:type="dxa"/>
            <w:vMerge w:val="continue"/>
            <w:vAlign w:val="center"/>
          </w:tcPr>
          <w:p>
            <w:pPr>
              <w:spacing w:line="400" w:lineRule="exact"/>
              <w:ind w:left="43" w:leftChars="-65" w:right="-128" w:rightChars="-61" w:hanging="179" w:hangingChars="64"/>
              <w:jc w:val="center"/>
              <w:rPr>
                <w:rFonts w:ascii="??_GB2312" w:hAnsi="宋体" w:eastAsia="Times New Roman"/>
                <w:sz w:val="28"/>
                <w:szCs w:val="28"/>
              </w:rPr>
            </w:pPr>
          </w:p>
        </w:tc>
        <w:tc>
          <w:tcPr>
            <w:tcW w:w="863" w:type="dxa"/>
            <w:gridSpan w:val="2"/>
            <w:vAlign w:val="center"/>
          </w:tcPr>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sz w:val="28"/>
                <w:szCs w:val="28"/>
              </w:rPr>
              <w:t>指导原则</w:t>
            </w:r>
          </w:p>
        </w:tc>
        <w:tc>
          <w:tcPr>
            <w:tcW w:w="945" w:type="dxa"/>
            <w:vAlign w:val="center"/>
          </w:tcPr>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sz w:val="28"/>
                <w:szCs w:val="28"/>
              </w:rPr>
              <w:t>规范</w:t>
            </w:r>
          </w:p>
        </w:tc>
        <w:tc>
          <w:tcPr>
            <w:tcW w:w="6750" w:type="dxa"/>
            <w:gridSpan w:val="4"/>
            <w:vMerge w:val="continue"/>
            <w:vAlign w:val="center"/>
          </w:tcPr>
          <w:p>
            <w:pPr>
              <w:spacing w:line="520" w:lineRule="exact"/>
              <w:jc w:val="center"/>
              <w:rPr>
                <w:rFonts w:ascii="??_GB2312" w:hAnsi="宋体"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1" w:type="dxa"/>
            <w:gridSpan w:val="2"/>
            <w:vAlign w:val="center"/>
          </w:tcPr>
          <w:p>
            <w:pPr>
              <w:spacing w:line="400" w:lineRule="exact"/>
              <w:ind w:left="43" w:leftChars="-65" w:right="-128" w:rightChars="-61" w:hanging="179" w:hangingChars="64"/>
              <w:jc w:val="center"/>
              <w:rPr>
                <w:rFonts w:ascii="??_GB2312" w:hAnsi="宋体" w:eastAsia="Times New Roman"/>
                <w:b/>
                <w:bCs/>
                <w:sz w:val="28"/>
                <w:szCs w:val="28"/>
              </w:rPr>
            </w:pPr>
            <w:r>
              <w:rPr>
                <w:rFonts w:ascii="??_GB2312" w:hAnsi="宋体" w:eastAsia="Times New Roman"/>
                <w:b/>
                <w:bCs/>
                <w:sz w:val="28"/>
                <w:szCs w:val="28"/>
              </w:rPr>
              <w:t>关</w:t>
            </w:r>
          </w:p>
          <w:p>
            <w:pPr>
              <w:spacing w:line="400" w:lineRule="exact"/>
              <w:ind w:left="43" w:leftChars="-65" w:right="-128" w:rightChars="-61" w:hanging="179" w:hangingChars="64"/>
              <w:jc w:val="center"/>
              <w:rPr>
                <w:rFonts w:ascii="??_GB2312" w:hAnsi="宋体" w:eastAsia="Times New Roman"/>
                <w:b/>
                <w:bCs/>
                <w:sz w:val="28"/>
                <w:szCs w:val="28"/>
              </w:rPr>
            </w:pPr>
            <w:r>
              <w:rPr>
                <w:rFonts w:ascii="??_GB2312" w:hAnsi="宋体" w:eastAsia="Times New Roman"/>
                <w:b/>
                <w:bCs/>
                <w:sz w:val="28"/>
                <w:szCs w:val="28"/>
              </w:rPr>
              <w:t>键</w:t>
            </w:r>
          </w:p>
          <w:p>
            <w:pPr>
              <w:spacing w:line="400" w:lineRule="exact"/>
              <w:ind w:left="43" w:leftChars="-65" w:right="-128" w:rightChars="-61" w:hanging="179" w:hangingChars="64"/>
              <w:jc w:val="center"/>
              <w:rPr>
                <w:rFonts w:ascii="??_GB2312" w:hAnsi="宋体" w:eastAsia="Times New Roman"/>
                <w:b/>
                <w:bCs/>
                <w:sz w:val="28"/>
                <w:szCs w:val="28"/>
              </w:rPr>
            </w:pPr>
            <w:r>
              <w:rPr>
                <w:rFonts w:ascii="??_GB2312" w:hAnsi="宋体" w:eastAsia="Times New Roman"/>
                <w:b/>
                <w:bCs/>
                <w:sz w:val="28"/>
                <w:szCs w:val="28"/>
              </w:rPr>
              <w:t>项</w:t>
            </w:r>
          </w:p>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b/>
                <w:bCs/>
                <w:sz w:val="28"/>
                <w:szCs w:val="28"/>
              </w:rPr>
              <w:t>目</w:t>
            </w:r>
          </w:p>
        </w:tc>
        <w:tc>
          <w:tcPr>
            <w:tcW w:w="848" w:type="dxa"/>
            <w:vAlign w:val="center"/>
          </w:tcPr>
          <w:p>
            <w:pPr>
              <w:spacing w:line="400" w:lineRule="exact"/>
              <w:ind w:right="-128" w:rightChars="-61"/>
              <w:rPr>
                <w:rFonts w:ascii="??_GB2312" w:hAnsi="宋体" w:eastAsia="Times New Roman"/>
                <w:sz w:val="28"/>
                <w:szCs w:val="28"/>
              </w:rPr>
            </w:pPr>
          </w:p>
          <w:p>
            <w:pPr>
              <w:spacing w:line="400" w:lineRule="exact"/>
              <w:ind w:right="-128" w:rightChars="-61"/>
              <w:rPr>
                <w:rFonts w:ascii="??_GB2312" w:hAnsi="宋体" w:eastAsia="Times New Roman"/>
                <w:sz w:val="28"/>
                <w:szCs w:val="28"/>
              </w:rPr>
            </w:pPr>
          </w:p>
        </w:tc>
        <w:tc>
          <w:tcPr>
            <w:tcW w:w="945" w:type="dxa"/>
            <w:vAlign w:val="center"/>
          </w:tcPr>
          <w:p>
            <w:pPr>
              <w:spacing w:line="400" w:lineRule="exact"/>
              <w:ind w:right="-128" w:rightChars="-61"/>
              <w:rPr>
                <w:rFonts w:ascii="??_GB2312" w:hAnsi="宋体" w:eastAsia="Times New Roman"/>
                <w:sz w:val="28"/>
                <w:szCs w:val="28"/>
              </w:rPr>
            </w:pPr>
          </w:p>
        </w:tc>
        <w:tc>
          <w:tcPr>
            <w:tcW w:w="6750" w:type="dxa"/>
            <w:gridSpan w:val="4"/>
          </w:tcPr>
          <w:p>
            <w:pPr>
              <w:rPr>
                <w:szCs w:val="24"/>
              </w:rPr>
            </w:pPr>
          </w:p>
          <w:p>
            <w:pPr>
              <w:rPr>
                <w:szCs w:val="24"/>
              </w:rPr>
            </w:pPr>
            <w:r>
              <w:rPr>
                <w:rFonts w:hint="eastAsia"/>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restart"/>
            <w:vAlign w:val="center"/>
          </w:tcPr>
          <w:p>
            <w:pPr>
              <w:jc w:val="center"/>
              <w:rPr>
                <w:rFonts w:ascii="??_GB2312" w:hAnsi="宋体" w:eastAsia="Times New Roman"/>
                <w:b/>
                <w:bCs/>
                <w:sz w:val="28"/>
                <w:szCs w:val="28"/>
              </w:rPr>
            </w:pPr>
            <w:r>
              <w:rPr>
                <w:rFonts w:ascii="??_GB2312" w:hAnsi="宋体" w:eastAsia="Times New Roman"/>
                <w:b/>
                <w:bCs/>
                <w:sz w:val="28"/>
                <w:szCs w:val="28"/>
              </w:rPr>
              <w:t>一</w:t>
            </w:r>
          </w:p>
          <w:p>
            <w:pPr>
              <w:jc w:val="center"/>
              <w:rPr>
                <w:rFonts w:ascii="??_GB2312" w:hAnsi="宋体" w:eastAsia="Times New Roman"/>
                <w:b/>
                <w:bCs/>
                <w:sz w:val="28"/>
                <w:szCs w:val="28"/>
              </w:rPr>
            </w:pPr>
            <w:r>
              <w:rPr>
                <w:rFonts w:ascii="??_GB2312" w:hAnsi="宋体" w:eastAsia="Times New Roman"/>
                <w:b/>
                <w:bCs/>
                <w:sz w:val="28"/>
                <w:szCs w:val="28"/>
              </w:rPr>
              <w:t>般</w:t>
            </w:r>
          </w:p>
          <w:p>
            <w:pPr>
              <w:jc w:val="center"/>
              <w:rPr>
                <w:rFonts w:ascii="??_GB2312" w:hAnsi="宋体" w:eastAsia="Times New Roman"/>
                <w:sz w:val="28"/>
                <w:szCs w:val="28"/>
              </w:rPr>
            </w:pPr>
            <w:r>
              <w:rPr>
                <w:rFonts w:ascii="??_GB2312" w:hAnsi="宋体" w:eastAsia="Times New Roman"/>
                <w:b/>
                <w:bCs/>
                <w:sz w:val="28"/>
                <w:szCs w:val="28"/>
              </w:rPr>
              <w:t>项目</w:t>
            </w:r>
          </w:p>
        </w:tc>
        <w:tc>
          <w:tcPr>
            <w:tcW w:w="848" w:type="dxa"/>
            <w:vAlign w:val="center"/>
          </w:tcPr>
          <w:p>
            <w:pPr>
              <w:jc w:val="center"/>
              <w:rPr>
                <w:szCs w:val="24"/>
              </w:rPr>
            </w:pPr>
            <w:r>
              <w:rPr>
                <w:szCs w:val="24"/>
              </w:rPr>
              <w:t>1.7.1</w:t>
            </w:r>
          </w:p>
        </w:tc>
        <w:tc>
          <w:tcPr>
            <w:tcW w:w="945" w:type="dxa"/>
            <w:vAlign w:val="center"/>
          </w:tcPr>
          <w:p>
            <w:pPr>
              <w:jc w:val="center"/>
              <w:rPr>
                <w:szCs w:val="24"/>
              </w:rPr>
            </w:pPr>
            <w:r>
              <w:rPr>
                <w:rFonts w:hint="eastAsia"/>
                <w:szCs w:val="24"/>
              </w:rPr>
              <w:t>附录2.1.1</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部分培训考核记录表填写不完整，如：制表人和审核人未签字。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1.7.2</w:t>
            </w:r>
          </w:p>
        </w:tc>
        <w:tc>
          <w:tcPr>
            <w:tcW w:w="945" w:type="dxa"/>
            <w:vAlign w:val="center"/>
          </w:tcPr>
          <w:p>
            <w:pPr>
              <w:jc w:val="center"/>
              <w:rPr>
                <w:szCs w:val="24"/>
              </w:rPr>
            </w:pPr>
            <w:r>
              <w:rPr>
                <w:rFonts w:hint="eastAsia"/>
                <w:szCs w:val="24"/>
              </w:rPr>
              <w:t>附录2.1.1</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洁净区人员进出管理规程中未明确临时进入洁净区人员具体批准部门。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1.10.1</w:t>
            </w:r>
          </w:p>
        </w:tc>
        <w:tc>
          <w:tcPr>
            <w:tcW w:w="945" w:type="dxa"/>
            <w:vAlign w:val="center"/>
          </w:tcPr>
          <w:p>
            <w:pPr>
              <w:jc w:val="center"/>
              <w:rPr>
                <w:szCs w:val="24"/>
              </w:rPr>
            </w:pPr>
            <w:r>
              <w:rPr>
                <w:rFonts w:hint="eastAsia"/>
                <w:szCs w:val="24"/>
              </w:rPr>
              <w:t>附录2.1.4</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现场检查洁净区工作服未能按照工作服管理规程中规定放置于分区的专用容器中，并做好状态标识。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2.6.1</w:t>
            </w:r>
          </w:p>
        </w:tc>
        <w:tc>
          <w:tcPr>
            <w:tcW w:w="945" w:type="dxa"/>
            <w:vAlign w:val="center"/>
          </w:tcPr>
          <w:p>
            <w:pPr>
              <w:jc w:val="center"/>
              <w:rPr>
                <w:szCs w:val="24"/>
              </w:rPr>
            </w:pPr>
            <w:r>
              <w:rPr>
                <w:rFonts w:hint="eastAsia"/>
                <w:szCs w:val="24"/>
              </w:rPr>
              <w:t>第十七条</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成品库合格区存在漏水现象。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2.6.2</w:t>
            </w:r>
          </w:p>
        </w:tc>
        <w:tc>
          <w:tcPr>
            <w:tcW w:w="945" w:type="dxa"/>
            <w:vAlign w:val="center"/>
          </w:tcPr>
          <w:p>
            <w:pPr>
              <w:jc w:val="center"/>
              <w:rPr>
                <w:szCs w:val="24"/>
              </w:rPr>
            </w:pPr>
            <w:r>
              <w:rPr>
                <w:rFonts w:hint="eastAsia"/>
                <w:szCs w:val="24"/>
              </w:rPr>
              <w:t>第十七条</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成品库未设置发货区，库区内存放旧设备未做明显标示，新洁尔灭消毒液未设置货位卡，包材仓库中合格区内放置已过期的蚊虫叮咬创可贴外包装物。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2.9.2</w:t>
            </w:r>
          </w:p>
        </w:tc>
        <w:tc>
          <w:tcPr>
            <w:tcW w:w="945" w:type="dxa"/>
            <w:vAlign w:val="center"/>
          </w:tcPr>
          <w:p>
            <w:pPr>
              <w:jc w:val="center"/>
              <w:rPr>
                <w:szCs w:val="24"/>
              </w:rPr>
            </w:pPr>
            <w:r>
              <w:rPr>
                <w:rFonts w:hint="eastAsia"/>
                <w:szCs w:val="24"/>
              </w:rPr>
              <w:t>附录2.2.2</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生产车间和化验室净化系统初中效压差安装不正确。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2.19.1</w:t>
            </w:r>
          </w:p>
        </w:tc>
        <w:tc>
          <w:tcPr>
            <w:tcW w:w="945" w:type="dxa"/>
            <w:vAlign w:val="center"/>
          </w:tcPr>
          <w:p>
            <w:pPr>
              <w:jc w:val="center"/>
              <w:rPr>
                <w:szCs w:val="24"/>
              </w:rPr>
            </w:pPr>
            <w:r>
              <w:rPr>
                <w:rFonts w:hint="eastAsia"/>
                <w:szCs w:val="24"/>
              </w:rPr>
              <w:t>附录2.2.12</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进入洁净区2车间的压缩空气管路与墙体接口处缝隙较大。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2.21.1</w:t>
            </w:r>
          </w:p>
        </w:tc>
        <w:tc>
          <w:tcPr>
            <w:tcW w:w="945" w:type="dxa"/>
            <w:vAlign w:val="center"/>
          </w:tcPr>
          <w:p>
            <w:pPr>
              <w:jc w:val="center"/>
              <w:rPr>
                <w:szCs w:val="24"/>
              </w:rPr>
            </w:pPr>
            <w:r>
              <w:rPr>
                <w:rFonts w:hint="eastAsia"/>
                <w:szCs w:val="24"/>
              </w:rPr>
              <w:t>附录2.2.14</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进入洁净区人流入口处未设置防止昆虫进入的设施。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3.2.2</w:t>
            </w:r>
          </w:p>
        </w:tc>
        <w:tc>
          <w:tcPr>
            <w:tcW w:w="945" w:type="dxa"/>
            <w:vAlign w:val="center"/>
          </w:tcPr>
          <w:p>
            <w:pPr>
              <w:jc w:val="center"/>
              <w:rPr>
                <w:szCs w:val="24"/>
              </w:rPr>
            </w:pPr>
            <w:r>
              <w:rPr>
                <w:rFonts w:hint="eastAsia"/>
                <w:szCs w:val="24"/>
              </w:rPr>
              <w:t>第二十条</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压缩空气管路未标示流向和内容物。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restart"/>
            <w:vAlign w:val="center"/>
          </w:tcPr>
          <w:p>
            <w:pPr>
              <w:jc w:val="center"/>
              <w:rPr>
                <w:rFonts w:ascii="??_GB2312" w:hAnsi="宋体" w:eastAsia="Times New Roman"/>
                <w:b/>
                <w:bCs/>
                <w:sz w:val="28"/>
                <w:szCs w:val="28"/>
              </w:rPr>
            </w:pPr>
            <w:r>
              <w:rPr>
                <w:rFonts w:ascii="??_GB2312" w:hAnsi="宋体" w:eastAsia="Times New Roman"/>
                <w:b/>
                <w:bCs/>
                <w:sz w:val="28"/>
                <w:szCs w:val="28"/>
              </w:rPr>
              <w:t>一</w:t>
            </w:r>
          </w:p>
          <w:p>
            <w:pPr>
              <w:jc w:val="center"/>
              <w:rPr>
                <w:rFonts w:ascii="??_GB2312" w:hAnsi="宋体" w:eastAsia="Times New Roman"/>
                <w:b/>
                <w:bCs/>
                <w:sz w:val="28"/>
                <w:szCs w:val="28"/>
              </w:rPr>
            </w:pPr>
            <w:r>
              <w:rPr>
                <w:rFonts w:ascii="??_GB2312" w:hAnsi="宋体" w:eastAsia="Times New Roman"/>
                <w:b/>
                <w:bCs/>
                <w:sz w:val="28"/>
                <w:szCs w:val="28"/>
              </w:rPr>
              <w:t>般</w:t>
            </w:r>
          </w:p>
          <w:p>
            <w:pPr>
              <w:spacing w:line="400" w:lineRule="exact"/>
              <w:ind w:right="-128" w:rightChars="-61"/>
              <w:rPr>
                <w:rFonts w:ascii="??_GB2312" w:hAnsi="宋体" w:eastAsia="Times New Roman"/>
                <w:sz w:val="28"/>
                <w:szCs w:val="28"/>
              </w:rPr>
            </w:pPr>
            <w:r>
              <w:rPr>
                <w:rFonts w:ascii="??_GB2312" w:hAnsi="宋体" w:eastAsia="Times New Roman"/>
                <w:b/>
                <w:bCs/>
                <w:sz w:val="28"/>
                <w:szCs w:val="28"/>
              </w:rPr>
              <w:t>项目</w:t>
            </w:r>
          </w:p>
        </w:tc>
        <w:tc>
          <w:tcPr>
            <w:tcW w:w="848" w:type="dxa"/>
            <w:vAlign w:val="center"/>
          </w:tcPr>
          <w:p>
            <w:pPr>
              <w:jc w:val="center"/>
              <w:rPr>
                <w:szCs w:val="24"/>
              </w:rPr>
            </w:pPr>
            <w:r>
              <w:rPr>
                <w:szCs w:val="24"/>
              </w:rPr>
              <w:t>3.2.3</w:t>
            </w:r>
          </w:p>
        </w:tc>
        <w:tc>
          <w:tcPr>
            <w:tcW w:w="945" w:type="dxa"/>
            <w:vAlign w:val="center"/>
          </w:tcPr>
          <w:p>
            <w:pPr>
              <w:jc w:val="center"/>
              <w:rPr>
                <w:szCs w:val="24"/>
              </w:rPr>
            </w:pPr>
            <w:r>
              <w:rPr>
                <w:rFonts w:hint="eastAsia"/>
                <w:szCs w:val="24"/>
              </w:rPr>
              <w:t>第二十条</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各生产设备的清洁状态标识，没有注明清洁日期和有效期。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6.5.2</w:t>
            </w:r>
          </w:p>
        </w:tc>
        <w:tc>
          <w:tcPr>
            <w:tcW w:w="945" w:type="dxa"/>
            <w:vAlign w:val="center"/>
          </w:tcPr>
          <w:p>
            <w:pPr>
              <w:jc w:val="center"/>
              <w:rPr>
                <w:szCs w:val="24"/>
              </w:rPr>
            </w:pPr>
            <w:r>
              <w:rPr>
                <w:rFonts w:hint="eastAsia"/>
                <w:szCs w:val="24"/>
              </w:rPr>
              <w:t>第四十三条</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换药包内的组件供应商河南亚都实业有限公司提供资质证明文件—营业执照过期。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7.16.1</w:t>
            </w:r>
          </w:p>
        </w:tc>
        <w:tc>
          <w:tcPr>
            <w:tcW w:w="945" w:type="dxa"/>
            <w:vAlign w:val="center"/>
          </w:tcPr>
          <w:p>
            <w:pPr>
              <w:jc w:val="center"/>
              <w:rPr>
                <w:szCs w:val="24"/>
              </w:rPr>
            </w:pPr>
            <w:r>
              <w:rPr>
                <w:rFonts w:hint="eastAsia"/>
                <w:szCs w:val="24"/>
              </w:rPr>
              <w:t>附录2.6.5</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在洁净区的清洁消毒管理规程中未明确紫外灯的寿命。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7.18.1</w:t>
            </w:r>
          </w:p>
        </w:tc>
        <w:tc>
          <w:tcPr>
            <w:tcW w:w="945" w:type="dxa"/>
            <w:vAlign w:val="center"/>
          </w:tcPr>
          <w:p>
            <w:pPr>
              <w:jc w:val="center"/>
              <w:rPr>
                <w:szCs w:val="24"/>
              </w:rPr>
            </w:pPr>
            <w:r>
              <w:rPr>
                <w:rFonts w:hint="eastAsia"/>
                <w:szCs w:val="24"/>
              </w:rPr>
              <w:t>附录2.6.7</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在批号管理制度中未明确生产批号和灭菌批号的关系。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848" w:type="dxa"/>
            <w:vAlign w:val="center"/>
          </w:tcPr>
          <w:p>
            <w:pPr>
              <w:jc w:val="center"/>
              <w:rPr>
                <w:szCs w:val="24"/>
              </w:rPr>
            </w:pPr>
            <w:r>
              <w:rPr>
                <w:szCs w:val="24"/>
              </w:rPr>
              <w:t>8.9.1</w:t>
            </w:r>
          </w:p>
        </w:tc>
        <w:tc>
          <w:tcPr>
            <w:tcW w:w="945" w:type="dxa"/>
            <w:vAlign w:val="center"/>
          </w:tcPr>
          <w:p>
            <w:pPr>
              <w:jc w:val="center"/>
              <w:rPr>
                <w:szCs w:val="24"/>
              </w:rPr>
            </w:pPr>
            <w:r>
              <w:rPr>
                <w:rFonts w:hint="eastAsia"/>
                <w:szCs w:val="24"/>
              </w:rPr>
              <w:t>附录2.7.3</w:t>
            </w:r>
          </w:p>
        </w:tc>
        <w:tc>
          <w:tcPr>
            <w:tcW w:w="6750" w:type="dxa"/>
            <w:gridSpan w:val="4"/>
            <w:vAlign w:val="center"/>
          </w:tcPr>
          <w:p>
            <w:pPr>
              <w:rPr>
                <w:rFonts w:hint="eastAsia" w:ascii="仿宋" w:hAnsi="仿宋" w:eastAsia="仿宋" w:cs="仿宋"/>
                <w:sz w:val="28"/>
                <w:szCs w:val="28"/>
              </w:rPr>
            </w:pPr>
            <w:r>
              <w:rPr>
                <w:rFonts w:hint="eastAsia" w:ascii="仿宋" w:hAnsi="仿宋" w:eastAsia="仿宋" w:cs="仿宋"/>
                <w:sz w:val="28"/>
                <w:szCs w:val="28"/>
              </w:rPr>
              <w:t>在洁净区环净监测管理规程中只规定停运三天以上复产时需对尘埃粒子数和沉降菌进行监测，未规定在停运期间是否需要开展洁净度的定期监测工作，企业自2017年10月完成生产地址变更后，未定期对净化区洁净度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114" w:type="dxa"/>
            <w:gridSpan w:val="8"/>
            <w:vAlign w:val="center"/>
          </w:tcPr>
          <w:p>
            <w:pPr>
              <w:spacing w:line="520" w:lineRule="exact"/>
              <w:jc w:val="center"/>
              <w:rPr>
                <w:rFonts w:eastAsiaTheme="minorEastAsia"/>
                <w:szCs w:val="24"/>
              </w:rPr>
            </w:pPr>
            <w:bookmarkStart w:id="0" w:name="_GoBack" w:colFirst="0" w:colLast="3"/>
            <w:r>
              <w:rPr>
                <w:rFonts w:hint="eastAsia" w:ascii="仿宋" w:hAnsi="仿宋" w:eastAsia="仿宋" w:cs="仿宋"/>
                <w:b/>
                <w:bCs/>
                <w:sz w:val="24"/>
                <w:szCs w:val="24"/>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4" w:type="dxa"/>
            <w:gridSpan w:val="8"/>
            <w:vAlign w:val="center"/>
          </w:tcPr>
          <w:p>
            <w:pPr>
              <w:spacing w:line="520" w:lineRule="exact"/>
              <w:ind w:firstLine="560" w:firstLineChars="200"/>
              <w:rPr>
                <w:szCs w:val="24"/>
              </w:rPr>
            </w:pPr>
            <w:r>
              <w:rPr>
                <w:rFonts w:hint="eastAsia" w:ascii="仿宋_GB2312" w:eastAsia="仿宋_GB2312"/>
                <w:color w:val="000000"/>
                <w:sz w:val="28"/>
                <w:szCs w:val="28"/>
                <w:lang w:val="en-US" w:eastAsia="zh-CN"/>
              </w:rPr>
              <w:t>针对该公司检查中发现的问题，厦门市市场监督管理局应责令企业限期整改，必要时跟踪复查，并要求企业评估产品安全风险，对有可能导致安全隐患的，应按照《医疗器械召回管理办法》的规定召回相关产品。企业完成整改后，厦门市市场监督管理局应将相关情况及时报送省局医疗器械处。</w:t>
            </w:r>
          </w:p>
        </w:tc>
      </w:tr>
      <w:bookmarkEnd w:id="0"/>
    </w:tbl>
    <w:p>
      <w:pPr>
        <w:widowControl/>
        <w:spacing w:before="100" w:beforeAutospacing="1" w:after="100" w:afterAutospacing="1" w:line="280" w:lineRule="exact"/>
        <w:jc w:val="left"/>
        <w:rPr>
          <w:rFonts w:ascii="??_GB2312" w:hAnsi="??_GB2312" w:eastAsia="Times New Roman" w:cs="??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_5b8b_4f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087E41"/>
    <w:rsid w:val="000A4124"/>
    <w:rsid w:val="000D31F9"/>
    <w:rsid w:val="001070C3"/>
    <w:rsid w:val="001216AD"/>
    <w:rsid w:val="001C3BB1"/>
    <w:rsid w:val="001F2245"/>
    <w:rsid w:val="00210BEE"/>
    <w:rsid w:val="002D60D1"/>
    <w:rsid w:val="002F7646"/>
    <w:rsid w:val="003457EE"/>
    <w:rsid w:val="003B4EC6"/>
    <w:rsid w:val="003F25FF"/>
    <w:rsid w:val="0044519D"/>
    <w:rsid w:val="0046381C"/>
    <w:rsid w:val="004968CD"/>
    <w:rsid w:val="004B3F20"/>
    <w:rsid w:val="004E7FBB"/>
    <w:rsid w:val="00510267"/>
    <w:rsid w:val="00530089"/>
    <w:rsid w:val="00532839"/>
    <w:rsid w:val="00653569"/>
    <w:rsid w:val="00670D04"/>
    <w:rsid w:val="006802B2"/>
    <w:rsid w:val="00693674"/>
    <w:rsid w:val="006B54FF"/>
    <w:rsid w:val="006C40C8"/>
    <w:rsid w:val="006D1996"/>
    <w:rsid w:val="006D37BB"/>
    <w:rsid w:val="007D63B8"/>
    <w:rsid w:val="00872BA9"/>
    <w:rsid w:val="008777D6"/>
    <w:rsid w:val="00884F92"/>
    <w:rsid w:val="0089660C"/>
    <w:rsid w:val="00954269"/>
    <w:rsid w:val="009A3829"/>
    <w:rsid w:val="00A15956"/>
    <w:rsid w:val="00A40D35"/>
    <w:rsid w:val="00A5547B"/>
    <w:rsid w:val="00AC05C1"/>
    <w:rsid w:val="00AF0BDB"/>
    <w:rsid w:val="00B1004C"/>
    <w:rsid w:val="00B11969"/>
    <w:rsid w:val="00B275B9"/>
    <w:rsid w:val="00BB00A9"/>
    <w:rsid w:val="00BC2C17"/>
    <w:rsid w:val="00C02201"/>
    <w:rsid w:val="00C75DF2"/>
    <w:rsid w:val="00C84222"/>
    <w:rsid w:val="00CF7689"/>
    <w:rsid w:val="00D55B49"/>
    <w:rsid w:val="00D81543"/>
    <w:rsid w:val="00D97F8B"/>
    <w:rsid w:val="00DC034B"/>
    <w:rsid w:val="00DD36DB"/>
    <w:rsid w:val="00DF708C"/>
    <w:rsid w:val="00DF7BCB"/>
    <w:rsid w:val="00E46361"/>
    <w:rsid w:val="00E51E50"/>
    <w:rsid w:val="00E819BE"/>
    <w:rsid w:val="00EF2CC1"/>
    <w:rsid w:val="00EF630D"/>
    <w:rsid w:val="00F227D4"/>
    <w:rsid w:val="00F75D0B"/>
    <w:rsid w:val="00F96F47"/>
    <w:rsid w:val="00FD653A"/>
    <w:rsid w:val="00FD72E0"/>
    <w:rsid w:val="05E668E6"/>
    <w:rsid w:val="06F93970"/>
    <w:rsid w:val="0A204B50"/>
    <w:rsid w:val="0C1542DE"/>
    <w:rsid w:val="0E226474"/>
    <w:rsid w:val="153132DD"/>
    <w:rsid w:val="16E27477"/>
    <w:rsid w:val="24EA7DE4"/>
    <w:rsid w:val="293811C2"/>
    <w:rsid w:val="408527BB"/>
    <w:rsid w:val="433C174C"/>
    <w:rsid w:val="436237CB"/>
    <w:rsid w:val="47967063"/>
    <w:rsid w:val="4ADC21F2"/>
    <w:rsid w:val="5D3C4433"/>
    <w:rsid w:val="62D408E1"/>
    <w:rsid w:val="74DB0D19"/>
    <w:rsid w:val="752D5B75"/>
    <w:rsid w:val="7CBB4E7C"/>
    <w:rsid w:val="7E120BEB"/>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Placeholder Text"/>
    <w:basedOn w:val="5"/>
    <w:semiHidden/>
    <w:uiPriority w:val="99"/>
    <w:rPr>
      <w:color w:val="808080"/>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8C22F-2A3B-4109-992C-87B345498D75}">
  <ds:schemaRefs/>
</ds:datastoreItem>
</file>

<file path=docProps/app.xml><?xml version="1.0" encoding="utf-8"?>
<Properties xmlns="http://schemas.openxmlformats.org/officeDocument/2006/extended-properties" xmlns:vt="http://schemas.openxmlformats.org/officeDocument/2006/docPropsVTypes">
  <Template>Normal</Template>
  <Pages>5</Pages>
  <Words>389</Words>
  <Characters>2222</Characters>
  <Lines>18</Lines>
  <Paragraphs>5</Paragraphs>
  <TotalTime>0</TotalTime>
  <ScaleCrop>false</ScaleCrop>
  <LinksUpToDate>false</LinksUpToDate>
  <CharactersWithSpaces>2606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2018-06-06T13:16:00Z</dcterms:created>
  <dc:creator>lenovo</dc:creator>
  <cp:lastModifiedBy>lenovo</cp:lastModifiedBy>
  <cp:lastPrinted>2018-06-25T09:05:34Z</cp:lastPrinted>
  <dcterms:modified xsi:type="dcterms:W3CDTF">2018-06-25T09:27:22Z</dcterms:modified>
  <dc:title>医疗器械现场监督检查工作规程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