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28"/>
          <w:szCs w:val="28"/>
        </w:rPr>
      </w:pPr>
    </w:p>
    <w:p>
      <w:pPr>
        <w:spacing w:afterLines="50"/>
        <w:jc w:val="center"/>
        <w:rPr>
          <w:rFonts w:ascii="仿宋" w:hAnsi="仿宋" w:eastAsia="仿宋" w:cs="仿宋"/>
          <w:bCs/>
          <w:sz w:val="44"/>
          <w:szCs w:val="44"/>
        </w:rPr>
      </w:pPr>
      <w:r>
        <w:rPr>
          <w:rFonts w:hint="eastAsia" w:ascii="仿宋_GB2312" w:hAnsi="宋体" w:eastAsia="仿宋_GB2312"/>
          <w:b/>
          <w:bCs w:val="0"/>
          <w:sz w:val="36"/>
          <w:szCs w:val="36"/>
          <w:lang w:val="en-US" w:eastAsia="zh-CN"/>
        </w:rPr>
        <w:t>对福建今古通生物科技有限公司双随机检查通报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5"/>
        <w:gridCol w:w="781"/>
        <w:gridCol w:w="570"/>
        <w:gridCol w:w="2279"/>
        <w:gridCol w:w="870"/>
        <w:gridCol w:w="15"/>
        <w:gridCol w:w="163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1922" w:type="dxa"/>
            <w:gridSpan w:val="4"/>
            <w:vAlign w:val="center"/>
          </w:tcPr>
          <w:p>
            <w:pPr>
              <w:spacing w:line="520" w:lineRule="exact"/>
              <w:jc w:val="center"/>
              <w:rPr>
                <w:szCs w:val="24"/>
              </w:rPr>
            </w:pPr>
            <w:r>
              <w:rPr>
                <w:rFonts w:hint="eastAsia" w:ascii="仿宋_GB2312" w:eastAsia="仿宋_GB2312"/>
                <w:sz w:val="28"/>
                <w:szCs w:val="28"/>
              </w:rPr>
              <w:t>企业名称</w:t>
            </w:r>
          </w:p>
        </w:tc>
        <w:tc>
          <w:tcPr>
            <w:tcW w:w="3149" w:type="dxa"/>
            <w:gridSpan w:val="2"/>
            <w:vAlign w:val="center"/>
          </w:tcPr>
          <w:p>
            <w:pPr>
              <w:rPr>
                <w:rFonts w:hint="eastAsia" w:ascii="仿宋" w:hAnsi="仿宋" w:eastAsia="仿宋" w:cs="仿宋"/>
                <w:sz w:val="28"/>
                <w:szCs w:val="28"/>
              </w:rPr>
            </w:pPr>
            <w:r>
              <w:rPr>
                <w:rFonts w:hint="eastAsia" w:ascii="仿宋" w:hAnsi="仿宋" w:eastAsia="仿宋" w:cs="仿宋"/>
                <w:sz w:val="28"/>
                <w:szCs w:val="28"/>
              </w:rPr>
              <w:t>福建今古通生物科技有限公司</w:t>
            </w:r>
          </w:p>
        </w:tc>
        <w:tc>
          <w:tcPr>
            <w:tcW w:w="1650" w:type="dxa"/>
            <w:gridSpan w:val="2"/>
          </w:tcPr>
          <w:p>
            <w:pPr>
              <w:rPr>
                <w:rFonts w:hint="eastAsia" w:ascii="仿宋" w:hAnsi="仿宋" w:eastAsia="仿宋" w:cs="仿宋"/>
                <w:sz w:val="28"/>
                <w:szCs w:val="28"/>
              </w:rPr>
            </w:pPr>
            <w:r>
              <w:rPr>
                <w:rFonts w:hint="eastAsia" w:ascii="仿宋" w:hAnsi="仿宋" w:eastAsia="仿宋" w:cs="仿宋"/>
                <w:sz w:val="28"/>
                <w:szCs w:val="28"/>
              </w:rPr>
              <w:t>法定代表人</w:t>
            </w:r>
          </w:p>
        </w:tc>
        <w:tc>
          <w:tcPr>
            <w:tcW w:w="1801" w:type="dxa"/>
            <w:vAlign w:val="center"/>
          </w:tcPr>
          <w:p>
            <w:pPr>
              <w:rPr>
                <w:rFonts w:hint="eastAsia" w:ascii="仿宋" w:hAnsi="仿宋" w:eastAsia="仿宋" w:cs="仿宋"/>
                <w:sz w:val="28"/>
                <w:szCs w:val="28"/>
              </w:rPr>
            </w:pPr>
            <w:r>
              <w:rPr>
                <w:rFonts w:hint="eastAsia" w:ascii="仿宋" w:hAnsi="仿宋" w:eastAsia="仿宋" w:cs="仿宋"/>
                <w:sz w:val="28"/>
                <w:szCs w:val="28"/>
              </w:rPr>
              <w:t>郭正龙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922" w:type="dxa"/>
            <w:gridSpan w:val="4"/>
            <w:vAlign w:val="center"/>
          </w:tcPr>
          <w:p>
            <w:pPr>
              <w:spacing w:line="400" w:lineRule="exact"/>
              <w:rPr>
                <w:rFonts w:ascii="仿宋_GB2312" w:eastAsia="仿宋_GB2312"/>
                <w:sz w:val="28"/>
                <w:szCs w:val="28"/>
              </w:rPr>
            </w:pPr>
            <w:r>
              <w:rPr>
                <w:rFonts w:hint="eastAsia" w:ascii="仿宋_GB2312" w:eastAsia="仿宋_GB2312"/>
                <w:sz w:val="28"/>
                <w:szCs w:val="28"/>
              </w:rPr>
              <w:t>企业负责人</w:t>
            </w:r>
          </w:p>
        </w:tc>
        <w:tc>
          <w:tcPr>
            <w:tcW w:w="2279" w:type="dxa"/>
          </w:tcPr>
          <w:p>
            <w:pPr>
              <w:rPr>
                <w:rFonts w:hint="eastAsia" w:ascii="仿宋" w:hAnsi="仿宋" w:eastAsia="仿宋" w:cs="仿宋"/>
                <w:sz w:val="28"/>
                <w:szCs w:val="28"/>
              </w:rPr>
            </w:pPr>
            <w:r>
              <w:rPr>
                <w:rFonts w:hint="eastAsia" w:ascii="仿宋" w:hAnsi="仿宋" w:eastAsia="仿宋" w:cs="仿宋"/>
                <w:sz w:val="28"/>
                <w:szCs w:val="28"/>
              </w:rPr>
              <w:t>郭小龙</w:t>
            </w:r>
          </w:p>
        </w:tc>
        <w:tc>
          <w:tcPr>
            <w:tcW w:w="885" w:type="dxa"/>
            <w:gridSpan w:val="2"/>
          </w:tcPr>
          <w:p>
            <w:pPr>
              <w:rPr>
                <w:rFonts w:hint="eastAsia" w:ascii="仿宋" w:hAnsi="仿宋" w:eastAsia="仿宋" w:cs="仿宋"/>
                <w:sz w:val="28"/>
                <w:szCs w:val="28"/>
              </w:rPr>
            </w:pPr>
            <w:r>
              <w:rPr>
                <w:rFonts w:hint="eastAsia" w:ascii="仿宋" w:hAnsi="仿宋" w:eastAsia="仿宋" w:cs="仿宋"/>
                <w:sz w:val="28"/>
                <w:szCs w:val="28"/>
              </w:rPr>
              <w:t>电话</w:t>
            </w:r>
          </w:p>
        </w:tc>
        <w:tc>
          <w:tcPr>
            <w:tcW w:w="3436" w:type="dxa"/>
            <w:gridSpan w:val="2"/>
            <w:vAlign w:val="center"/>
          </w:tcPr>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22" w:type="dxa"/>
            <w:gridSpan w:val="4"/>
            <w:vAlign w:val="center"/>
          </w:tcPr>
          <w:p>
            <w:pPr>
              <w:spacing w:line="400" w:lineRule="exact"/>
              <w:rPr>
                <w:rFonts w:ascii="仿宋_GB2312" w:eastAsia="仿宋_GB2312"/>
                <w:sz w:val="28"/>
                <w:szCs w:val="28"/>
              </w:rPr>
            </w:pPr>
            <w:r>
              <w:rPr>
                <w:rFonts w:hint="eastAsia" w:ascii="仿宋_GB2312" w:eastAsia="仿宋_GB2312"/>
                <w:sz w:val="28"/>
                <w:szCs w:val="28"/>
              </w:rPr>
              <w:t>管理者代表</w:t>
            </w:r>
          </w:p>
        </w:tc>
        <w:tc>
          <w:tcPr>
            <w:tcW w:w="2279" w:type="dxa"/>
            <w:vAlign w:val="center"/>
          </w:tcPr>
          <w:p>
            <w:pPr>
              <w:rPr>
                <w:rFonts w:hint="eastAsia" w:ascii="仿宋" w:hAnsi="仿宋" w:eastAsia="仿宋" w:cs="仿宋"/>
                <w:sz w:val="28"/>
                <w:szCs w:val="28"/>
              </w:rPr>
            </w:pPr>
            <w:r>
              <w:rPr>
                <w:rFonts w:hint="eastAsia" w:ascii="仿宋" w:hAnsi="仿宋" w:eastAsia="仿宋" w:cs="仿宋"/>
                <w:sz w:val="28"/>
                <w:szCs w:val="28"/>
              </w:rPr>
              <w:t>李传标</w:t>
            </w:r>
          </w:p>
        </w:tc>
        <w:tc>
          <w:tcPr>
            <w:tcW w:w="885" w:type="dxa"/>
            <w:gridSpan w:val="2"/>
          </w:tcPr>
          <w:p>
            <w:pPr>
              <w:rPr>
                <w:rFonts w:hint="eastAsia" w:ascii="仿宋" w:hAnsi="仿宋" w:eastAsia="仿宋" w:cs="仿宋"/>
                <w:sz w:val="28"/>
                <w:szCs w:val="28"/>
              </w:rPr>
            </w:pPr>
            <w:r>
              <w:rPr>
                <w:rFonts w:hint="eastAsia" w:ascii="仿宋" w:hAnsi="仿宋" w:eastAsia="仿宋" w:cs="仿宋"/>
                <w:sz w:val="28"/>
                <w:szCs w:val="28"/>
              </w:rPr>
              <w:t>电话</w:t>
            </w:r>
          </w:p>
        </w:tc>
        <w:tc>
          <w:tcPr>
            <w:tcW w:w="3436" w:type="dxa"/>
            <w:gridSpan w:val="2"/>
          </w:tcPr>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922" w:type="dxa"/>
            <w:gridSpan w:val="4"/>
            <w:vAlign w:val="center"/>
          </w:tcPr>
          <w:p>
            <w:pPr>
              <w:spacing w:line="400" w:lineRule="exact"/>
              <w:rPr>
                <w:szCs w:val="24"/>
              </w:rPr>
            </w:pPr>
            <w:r>
              <w:rPr>
                <w:rFonts w:hint="eastAsia" w:ascii="仿宋_GB2312" w:eastAsia="仿宋_GB2312"/>
                <w:sz w:val="28"/>
                <w:szCs w:val="28"/>
              </w:rPr>
              <w:t xml:space="preserve"> 注册地址</w:t>
            </w:r>
          </w:p>
        </w:tc>
        <w:tc>
          <w:tcPr>
            <w:tcW w:w="6600" w:type="dxa"/>
            <w:gridSpan w:val="5"/>
            <w:vAlign w:val="center"/>
          </w:tcPr>
          <w:p>
            <w:pPr>
              <w:rPr>
                <w:rFonts w:hint="eastAsia" w:ascii="仿宋" w:hAnsi="仿宋" w:eastAsia="仿宋" w:cs="仿宋"/>
                <w:sz w:val="28"/>
                <w:szCs w:val="28"/>
              </w:rPr>
            </w:pPr>
            <w:r>
              <w:rPr>
                <w:rFonts w:hint="eastAsia" w:ascii="仿宋" w:hAnsi="仿宋" w:eastAsia="仿宋" w:cs="仿宋"/>
                <w:sz w:val="28"/>
                <w:szCs w:val="28"/>
              </w:rPr>
              <w:t>福建省宁德市柘荣县经济开发区东源大道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922" w:type="dxa"/>
            <w:gridSpan w:val="4"/>
            <w:vAlign w:val="center"/>
          </w:tcPr>
          <w:p>
            <w:pPr>
              <w:spacing w:line="520" w:lineRule="exact"/>
              <w:jc w:val="center"/>
              <w:rPr>
                <w:szCs w:val="24"/>
              </w:rPr>
            </w:pPr>
            <w:r>
              <w:rPr>
                <w:rFonts w:hint="eastAsia" w:ascii="仿宋_GB2312" w:eastAsia="仿宋_GB2312"/>
                <w:sz w:val="28"/>
                <w:szCs w:val="28"/>
              </w:rPr>
              <w:t>生产地址</w:t>
            </w:r>
          </w:p>
        </w:tc>
        <w:tc>
          <w:tcPr>
            <w:tcW w:w="6600" w:type="dxa"/>
            <w:gridSpan w:val="5"/>
            <w:vAlign w:val="center"/>
          </w:tcPr>
          <w:p>
            <w:pPr>
              <w:rPr>
                <w:rFonts w:hint="eastAsia" w:ascii="仿宋" w:hAnsi="仿宋" w:eastAsia="仿宋" w:cs="仿宋"/>
                <w:sz w:val="28"/>
                <w:szCs w:val="28"/>
              </w:rPr>
            </w:pPr>
            <w:r>
              <w:rPr>
                <w:rFonts w:hint="eastAsia" w:ascii="仿宋" w:hAnsi="仿宋" w:eastAsia="仿宋" w:cs="仿宋"/>
                <w:sz w:val="28"/>
                <w:szCs w:val="28"/>
              </w:rPr>
              <w:t>福建省宁德市柘荣县经济开发区东源大道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922" w:type="dxa"/>
            <w:gridSpan w:val="4"/>
            <w:vAlign w:val="center"/>
          </w:tcPr>
          <w:p>
            <w:pPr>
              <w:spacing w:line="520" w:lineRule="exact"/>
              <w:jc w:val="center"/>
              <w:rPr>
                <w:szCs w:val="24"/>
              </w:rPr>
            </w:pPr>
            <w:r>
              <w:rPr>
                <w:rFonts w:hint="eastAsia" w:ascii="仿宋_GB2312" w:eastAsia="仿宋_GB2312"/>
                <w:sz w:val="28"/>
                <w:szCs w:val="28"/>
              </w:rPr>
              <w:t>检查日期</w:t>
            </w:r>
          </w:p>
        </w:tc>
        <w:tc>
          <w:tcPr>
            <w:tcW w:w="6600" w:type="dxa"/>
            <w:gridSpan w:val="5"/>
            <w:vAlign w:val="center"/>
          </w:tcPr>
          <w:p>
            <w:pPr>
              <w:rPr>
                <w:rFonts w:hint="eastAsia" w:ascii="仿宋" w:hAnsi="仿宋" w:eastAsia="仿宋" w:cs="仿宋"/>
                <w:sz w:val="28"/>
                <w:szCs w:val="28"/>
              </w:rPr>
            </w:pPr>
            <w:r>
              <w:rPr>
                <w:rFonts w:hint="eastAsia" w:ascii="仿宋" w:hAnsi="仿宋" w:eastAsia="仿宋" w:cs="仿宋"/>
                <w:sz w:val="28"/>
                <w:szCs w:val="28"/>
              </w:rPr>
              <w:t>2018年6月5日至6月6日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1922" w:type="dxa"/>
            <w:gridSpan w:val="4"/>
            <w:vAlign w:val="center"/>
          </w:tcPr>
          <w:p>
            <w:pPr>
              <w:spacing w:line="520" w:lineRule="exact"/>
              <w:jc w:val="center"/>
              <w:rPr>
                <w:szCs w:val="24"/>
              </w:rPr>
            </w:pPr>
            <w:r>
              <w:rPr>
                <w:rFonts w:hint="eastAsia" w:ascii="仿宋_GB2312" w:eastAsia="仿宋_GB2312"/>
                <w:sz w:val="28"/>
                <w:szCs w:val="28"/>
              </w:rPr>
              <w:t>产品类别</w:t>
            </w:r>
          </w:p>
        </w:tc>
        <w:tc>
          <w:tcPr>
            <w:tcW w:w="6600" w:type="dxa"/>
            <w:gridSpan w:val="5"/>
          </w:tcPr>
          <w:p>
            <w:pPr>
              <w:spacing w:line="520" w:lineRule="exact"/>
              <w:rPr>
                <w:rFonts w:hint="eastAsia" w:ascii="仿宋" w:hAnsi="仿宋" w:eastAsia="仿宋" w:cs="仿宋"/>
                <w:sz w:val="28"/>
                <w:szCs w:val="28"/>
              </w:rPr>
            </w:pPr>
            <w:r>
              <w:rPr>
                <w:rFonts w:hint="eastAsia" w:ascii="仿宋" w:hAnsi="仿宋" w:eastAsia="仿宋" w:cs="仿宋"/>
                <w:bCs/>
                <w:sz w:val="28"/>
                <w:szCs w:val="28"/>
              </w:rPr>
              <w:t xml:space="preserve">□无菌医疗器械  □植入性医疗器械 □体外诊断试剂   □定制式义齿    √其他医疗器械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922" w:type="dxa"/>
            <w:gridSpan w:val="4"/>
            <w:vAlign w:val="center"/>
          </w:tcPr>
          <w:p>
            <w:pPr>
              <w:spacing w:line="520" w:lineRule="exact"/>
              <w:jc w:val="center"/>
              <w:rPr>
                <w:rFonts w:ascii="仿宋_GB2312" w:eastAsia="仿宋_GB2312"/>
                <w:sz w:val="28"/>
                <w:szCs w:val="28"/>
              </w:rPr>
            </w:pPr>
            <w:r>
              <w:rPr>
                <w:rFonts w:hint="eastAsia" w:ascii="仿宋_GB2312" w:eastAsia="仿宋_GB2312"/>
                <w:sz w:val="28"/>
                <w:szCs w:val="28"/>
              </w:rPr>
              <w:t>抽查产品</w:t>
            </w:r>
          </w:p>
          <w:p>
            <w:pPr>
              <w:spacing w:line="520" w:lineRule="exact"/>
              <w:jc w:val="center"/>
              <w:rPr>
                <w:szCs w:val="24"/>
              </w:rPr>
            </w:pPr>
            <w:r>
              <w:rPr>
                <w:rFonts w:hint="eastAsia" w:ascii="仿宋_GB2312" w:eastAsia="仿宋_GB2312"/>
                <w:sz w:val="28"/>
                <w:szCs w:val="28"/>
              </w:rPr>
              <w:t>名称</w:t>
            </w:r>
          </w:p>
        </w:tc>
        <w:tc>
          <w:tcPr>
            <w:tcW w:w="6600" w:type="dxa"/>
            <w:gridSpan w:val="5"/>
          </w:tcPr>
          <w:p>
            <w:pPr>
              <w:rPr>
                <w:rFonts w:hint="eastAsia" w:ascii="仿宋" w:hAnsi="仿宋" w:eastAsia="仿宋" w:cs="仿宋"/>
                <w:sz w:val="28"/>
                <w:szCs w:val="28"/>
              </w:rPr>
            </w:pPr>
            <w:r>
              <w:rPr>
                <w:rFonts w:hint="eastAsia" w:ascii="仿宋" w:hAnsi="仿宋" w:eastAsia="仿宋" w:cs="仿宋"/>
                <w:sz w:val="28"/>
                <w:szCs w:val="28"/>
              </w:rPr>
              <w:t>消痛灸( 第二类医疗器械)、热敷灵（第二类医疗器械)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2" w:type="dxa"/>
            <w:gridSpan w:val="4"/>
            <w:vAlign w:val="center"/>
          </w:tcPr>
          <w:p>
            <w:pPr>
              <w:spacing w:line="520" w:lineRule="exact"/>
              <w:jc w:val="center"/>
              <w:rPr>
                <w:szCs w:val="24"/>
              </w:rPr>
            </w:pPr>
            <w:r>
              <w:rPr>
                <w:rFonts w:hint="eastAsia" w:ascii="仿宋_GB2312" w:eastAsia="仿宋_GB2312"/>
                <w:sz w:val="28"/>
                <w:szCs w:val="28"/>
              </w:rPr>
              <w:t>检查目的和范围</w:t>
            </w:r>
          </w:p>
        </w:tc>
        <w:tc>
          <w:tcPr>
            <w:tcW w:w="6600" w:type="dxa"/>
            <w:gridSpan w:val="5"/>
          </w:tcPr>
          <w:p>
            <w:pPr>
              <w:rPr>
                <w:szCs w:val="24"/>
              </w:rPr>
            </w:pPr>
            <w:r>
              <w:rPr>
                <w:rFonts w:hint="eastAsia" w:ascii="仿宋_GB2312" w:eastAsia="仿宋_GB2312"/>
                <w:bCs/>
                <w:sz w:val="28"/>
                <w:szCs w:val="28"/>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922" w:type="dxa"/>
            <w:gridSpan w:val="4"/>
            <w:vAlign w:val="center"/>
          </w:tcPr>
          <w:p>
            <w:pPr>
              <w:spacing w:line="520" w:lineRule="exact"/>
              <w:jc w:val="center"/>
              <w:rPr>
                <w:szCs w:val="24"/>
              </w:rPr>
            </w:pPr>
            <w:r>
              <w:rPr>
                <w:rFonts w:hint="eastAsia" w:ascii="仿宋_GB2312" w:eastAsia="仿宋_GB2312"/>
                <w:sz w:val="28"/>
                <w:szCs w:val="28"/>
              </w:rPr>
              <w:t>检查依据</w:t>
            </w:r>
          </w:p>
        </w:tc>
        <w:tc>
          <w:tcPr>
            <w:tcW w:w="6600" w:type="dxa"/>
            <w:gridSpan w:val="5"/>
          </w:tcPr>
          <w:p>
            <w:pPr>
              <w:spacing w:line="520" w:lineRule="exact"/>
              <w:rPr>
                <w:rFonts w:ascii="仿宋_GB2312" w:eastAsia="仿宋_GB2312"/>
                <w:sz w:val="28"/>
                <w:szCs w:val="28"/>
              </w:rPr>
            </w:pPr>
            <w:r>
              <w:rPr>
                <w:rFonts w:ascii="Arial" w:hAnsi="Arial" w:eastAsia="仿宋_GB2312" w:cs="Arial"/>
                <w:bCs/>
                <w:sz w:val="28"/>
                <w:szCs w:val="28"/>
              </w:rPr>
              <w:t>√</w:t>
            </w:r>
            <w:r>
              <w:rPr>
                <w:rFonts w:hint="eastAsia" w:ascii="仿宋_GB2312" w:eastAsia="仿宋_GB2312"/>
                <w:sz w:val="28"/>
                <w:szCs w:val="28"/>
              </w:rPr>
              <w:t>医疗器械生产质量管理规范（GMP）</w:t>
            </w:r>
          </w:p>
          <w:p>
            <w:pPr>
              <w:spacing w:line="520" w:lineRule="exact"/>
              <w:rPr>
                <w:rFonts w:ascii="仿宋_GB2312" w:eastAsia="仿宋_GB2312"/>
                <w:sz w:val="28"/>
                <w:szCs w:val="28"/>
              </w:rPr>
            </w:pPr>
            <w:r>
              <w:rPr>
                <w:rFonts w:hint="eastAsia" w:ascii="仿宋_GB2312" w:eastAsia="仿宋_GB2312"/>
                <w:sz w:val="28"/>
                <w:szCs w:val="28"/>
              </w:rPr>
              <w:t>□医疗器械GMP附录及指导原则无菌医疗器械部分</w:t>
            </w:r>
          </w:p>
          <w:p>
            <w:pPr>
              <w:spacing w:line="520" w:lineRule="exact"/>
              <w:rPr>
                <w:rFonts w:ascii="仿宋_GB2312" w:eastAsia="仿宋_GB2312"/>
                <w:sz w:val="28"/>
                <w:szCs w:val="28"/>
              </w:rPr>
            </w:pPr>
            <w:r>
              <w:rPr>
                <w:rFonts w:hint="eastAsia" w:ascii="仿宋_GB2312" w:eastAsia="仿宋_GB2312"/>
                <w:sz w:val="28"/>
                <w:szCs w:val="28"/>
              </w:rPr>
              <w:t>□医疗器械GMP附录及指导原则植入性医疗器械部分</w:t>
            </w:r>
          </w:p>
          <w:p>
            <w:pPr>
              <w:spacing w:line="520" w:lineRule="exact"/>
              <w:rPr>
                <w:rFonts w:ascii="仿宋_GB2312" w:eastAsia="仿宋_GB2312"/>
                <w:sz w:val="28"/>
                <w:szCs w:val="28"/>
              </w:rPr>
            </w:pPr>
            <w:r>
              <w:rPr>
                <w:rFonts w:hint="eastAsia" w:ascii="仿宋_GB2312" w:eastAsia="仿宋_GB2312"/>
                <w:sz w:val="28"/>
                <w:szCs w:val="28"/>
              </w:rPr>
              <w:t>□医疗器械GMP附录及指导原则体外诊断试剂部分</w:t>
            </w:r>
          </w:p>
          <w:p>
            <w:pPr>
              <w:rPr>
                <w:szCs w:val="24"/>
              </w:rPr>
            </w:pPr>
            <w:r>
              <w:rPr>
                <w:rFonts w:hint="eastAsia" w:ascii="仿宋_GB2312" w:eastAsia="仿宋_GB2312"/>
                <w:sz w:val="28"/>
                <w:szCs w:val="28"/>
              </w:rPr>
              <w:t>□医疗器械GMP附录及指导原则定制式义齿部分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22" w:type="dxa"/>
            <w:gridSpan w:val="4"/>
            <w:vAlign w:val="center"/>
          </w:tcPr>
          <w:p>
            <w:pPr>
              <w:spacing w:line="520" w:lineRule="exact"/>
              <w:jc w:val="center"/>
              <w:rPr>
                <w:szCs w:val="24"/>
              </w:rPr>
            </w:pPr>
            <w:r>
              <w:rPr>
                <w:rFonts w:hint="eastAsia" w:ascii="仿宋_GB2312" w:eastAsia="仿宋_GB2312"/>
                <w:sz w:val="28"/>
                <w:szCs w:val="28"/>
              </w:rPr>
              <w:t>声   明</w:t>
            </w:r>
          </w:p>
        </w:tc>
        <w:tc>
          <w:tcPr>
            <w:tcW w:w="6600" w:type="dxa"/>
            <w:gridSpan w:val="5"/>
          </w:tcPr>
          <w:p>
            <w:pPr>
              <w:snapToGrid w:val="0"/>
              <w:spacing w:line="320" w:lineRule="exact"/>
              <w:jc w:val="center"/>
              <w:rPr>
                <w:rFonts w:ascii="仿宋_GB2312" w:eastAsia="仿宋_GB2312"/>
                <w:sz w:val="28"/>
                <w:szCs w:val="28"/>
              </w:rPr>
            </w:pPr>
            <w:r>
              <w:rPr>
                <w:rFonts w:hint="eastAsia" w:ascii="仿宋_GB2312" w:eastAsia="仿宋_GB2312"/>
                <w:sz w:val="28"/>
                <w:szCs w:val="28"/>
              </w:rPr>
              <w:t>主要缺陷和问题及其判定依据</w:t>
            </w:r>
          </w:p>
          <w:p>
            <w:pPr>
              <w:spacing w:line="320" w:lineRule="exact"/>
              <w:rPr>
                <w:rFonts w:hint="eastAsia" w:ascii="仿宋_GB2312" w:hAnsi="宋体" w:eastAsia="仿宋_GB2312"/>
                <w:sz w:val="28"/>
                <w:szCs w:val="28"/>
              </w:rPr>
            </w:pPr>
            <w:r>
              <w:rPr>
                <w:rFonts w:hint="eastAsia" w:ascii="仿宋_GB2312" w:hAnsi="宋体" w:eastAsia="仿宋_GB2312"/>
                <w:sz w:val="28"/>
                <w:szCs w:val="28"/>
              </w:rPr>
              <w:t>本表中所列出的缺陷和问题，只是本次发现，不代表企业缺陷和问题的全部。建立与本企业生产产品特点相适应的质量管理体系并保持其有效运行，是医疗器械生产企业的法定责任。</w:t>
            </w:r>
          </w:p>
          <w:p>
            <w:pPr>
              <w:spacing w:line="320" w:lineRule="exact"/>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556" w:type="dxa"/>
            <w:vMerge w:val="restart"/>
            <w:vAlign w:val="center"/>
          </w:tcPr>
          <w:p>
            <w:pPr>
              <w:spacing w:line="400" w:lineRule="exact"/>
              <w:ind w:left="-2" w:leftChars="-65" w:right="-128" w:rightChars="-61" w:hanging="134" w:hangingChars="64"/>
              <w:jc w:val="center"/>
              <w:rPr>
                <w:szCs w:val="24"/>
              </w:rPr>
            </w:pPr>
          </w:p>
        </w:tc>
        <w:tc>
          <w:tcPr>
            <w:tcW w:w="1366" w:type="dxa"/>
            <w:gridSpan w:val="3"/>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依据条款</w:t>
            </w:r>
          </w:p>
        </w:tc>
        <w:tc>
          <w:tcPr>
            <w:tcW w:w="6600" w:type="dxa"/>
            <w:gridSpan w:val="5"/>
            <w:vMerge w:val="restart"/>
            <w:vAlign w:val="center"/>
          </w:tcPr>
          <w:p>
            <w:pPr>
              <w:spacing w:line="520" w:lineRule="exact"/>
              <w:jc w:val="center"/>
              <w:rPr>
                <w:szCs w:val="24"/>
              </w:rPr>
            </w:pPr>
            <w:r>
              <w:rPr>
                <w:rFonts w:hint="eastAsia" w:ascii="仿宋_GB2312" w:hAnsi="宋体" w:eastAsia="仿宋_GB2312"/>
                <w:sz w:val="28"/>
                <w:szCs w:val="28"/>
              </w:rPr>
              <w:t>缺陷和问题描述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556" w:type="dxa"/>
            <w:vMerge w:val="continue"/>
            <w:vAlign w:val="center"/>
          </w:tcPr>
          <w:p>
            <w:pPr>
              <w:spacing w:line="400" w:lineRule="exact"/>
              <w:ind w:left="43" w:leftChars="-65" w:right="-128" w:rightChars="-61" w:hanging="179" w:hangingChars="64"/>
              <w:jc w:val="center"/>
              <w:rPr>
                <w:rFonts w:ascii="仿宋_GB2312" w:hAnsi="宋体" w:eastAsia="仿宋_GB2312"/>
                <w:sz w:val="28"/>
                <w:szCs w:val="28"/>
              </w:rPr>
            </w:pPr>
          </w:p>
        </w:tc>
        <w:tc>
          <w:tcPr>
            <w:tcW w:w="796" w:type="dxa"/>
            <w:gridSpan w:val="2"/>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指导原则</w:t>
            </w:r>
          </w:p>
        </w:tc>
        <w:tc>
          <w:tcPr>
            <w:tcW w:w="570" w:type="dxa"/>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规范</w:t>
            </w:r>
          </w:p>
        </w:tc>
        <w:tc>
          <w:tcPr>
            <w:tcW w:w="6600" w:type="dxa"/>
            <w:gridSpan w:val="5"/>
            <w:vMerge w:val="continue"/>
            <w:vAlign w:val="center"/>
          </w:tcPr>
          <w:p>
            <w:pPr>
              <w:spacing w:line="52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571" w:type="dxa"/>
            <w:gridSpan w:val="2"/>
            <w:vMerge w:val="restart"/>
            <w:vAlign w:val="center"/>
          </w:tcPr>
          <w:p>
            <w:pPr>
              <w:spacing w:line="400" w:lineRule="exact"/>
              <w:ind w:left="44" w:leftChars="-65" w:right="-128" w:rightChars="-61" w:hanging="180" w:hangingChars="64"/>
              <w:jc w:val="center"/>
              <w:rPr>
                <w:rFonts w:ascii="仿宋_GB2312" w:hAnsi="宋体" w:eastAsia="仿宋_GB2312"/>
                <w:b/>
                <w:bCs/>
                <w:sz w:val="28"/>
                <w:szCs w:val="28"/>
              </w:rPr>
            </w:pPr>
          </w:p>
          <w:p>
            <w:pPr>
              <w:spacing w:line="400" w:lineRule="exact"/>
              <w:ind w:left="44" w:leftChars="-65" w:right="-128" w:rightChars="-61" w:hanging="180" w:hangingChars="64"/>
              <w:jc w:val="center"/>
              <w:rPr>
                <w:rFonts w:ascii="仿宋_GB2312" w:hAnsi="宋体" w:eastAsia="仿宋_GB2312"/>
                <w:b/>
                <w:bCs/>
                <w:sz w:val="28"/>
                <w:szCs w:val="28"/>
              </w:rPr>
            </w:pPr>
          </w:p>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关</w:t>
            </w:r>
          </w:p>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键</w:t>
            </w:r>
          </w:p>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项</w:t>
            </w:r>
          </w:p>
          <w:p>
            <w:pPr>
              <w:spacing w:line="400" w:lineRule="exact"/>
              <w:ind w:left="44" w:leftChars="-65" w:right="-128" w:rightChars="-61" w:hanging="180" w:hangingChars="64"/>
              <w:jc w:val="center"/>
              <w:rPr>
                <w:rFonts w:ascii="仿宋_GB2312" w:hAnsi="宋体" w:eastAsia="仿宋_GB2312"/>
                <w:sz w:val="28"/>
                <w:szCs w:val="28"/>
              </w:rPr>
            </w:pPr>
            <w:r>
              <w:rPr>
                <w:rFonts w:hint="eastAsia" w:ascii="仿宋_GB2312" w:hAnsi="宋体" w:eastAsia="仿宋_GB2312"/>
                <w:b/>
                <w:bCs/>
                <w:sz w:val="28"/>
                <w:szCs w:val="28"/>
              </w:rPr>
              <w:t>目</w:t>
            </w:r>
          </w:p>
          <w:p>
            <w:pPr>
              <w:spacing w:line="400" w:lineRule="exact"/>
              <w:ind w:right="-128" w:rightChars="-61" w:firstLine="223"/>
              <w:rPr>
                <w:rFonts w:ascii="仿宋_GB2312" w:hAnsi="宋体" w:eastAsia="仿宋_GB2312"/>
                <w:sz w:val="28"/>
                <w:szCs w:val="28"/>
              </w:rPr>
            </w:pPr>
          </w:p>
        </w:tc>
        <w:tc>
          <w:tcPr>
            <w:tcW w:w="781" w:type="dxa"/>
            <w:vAlign w:val="center"/>
          </w:tcPr>
          <w:p>
            <w:pPr>
              <w:spacing w:line="400" w:lineRule="exact"/>
              <w:ind w:right="-128" w:rightChars="-61"/>
              <w:rPr>
                <w:rFonts w:hint="eastAsia" w:ascii="仿宋" w:hAnsi="仿宋" w:eastAsia="仿宋" w:cs="仿宋"/>
                <w:sz w:val="28"/>
                <w:szCs w:val="28"/>
              </w:rPr>
            </w:pPr>
            <w:r>
              <w:rPr>
                <w:rFonts w:hint="eastAsia" w:ascii="仿宋" w:hAnsi="仿宋" w:eastAsia="仿宋" w:cs="仿宋"/>
                <w:sz w:val="28"/>
                <w:szCs w:val="28"/>
              </w:rPr>
              <w:t>*7.8.1</w:t>
            </w:r>
          </w:p>
        </w:tc>
        <w:tc>
          <w:tcPr>
            <w:tcW w:w="570" w:type="dxa"/>
            <w:vAlign w:val="center"/>
          </w:tcPr>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第</w:t>
            </w:r>
          </w:p>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五</w:t>
            </w:r>
          </w:p>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十</w:t>
            </w:r>
          </w:p>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二</w:t>
            </w:r>
          </w:p>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条</w:t>
            </w:r>
          </w:p>
        </w:tc>
        <w:tc>
          <w:tcPr>
            <w:tcW w:w="6600" w:type="dxa"/>
            <w:gridSpan w:val="5"/>
          </w:tcPr>
          <w:p>
            <w:pPr>
              <w:rPr>
                <w:rFonts w:hint="eastAsia" w:ascii="仿宋" w:hAnsi="仿宋" w:eastAsia="仿宋" w:cs="仿宋"/>
                <w:sz w:val="28"/>
                <w:szCs w:val="28"/>
              </w:rPr>
            </w:pPr>
            <w:r>
              <w:rPr>
                <w:rFonts w:hint="eastAsia" w:ascii="仿宋" w:hAnsi="仿宋" w:eastAsia="仿宋" w:cs="仿宋"/>
                <w:sz w:val="28"/>
                <w:szCs w:val="28"/>
              </w:rPr>
              <w:t>查看程序文件QP-7.5-04《产品标识和追溯性程序》里的4.2.4监视和测量状态的标识方法企业规定如下，容器颜色：绿色为合格，红色不合格，黄色待定。现场查看生产车间，只有蓝色的篮框，与企业制度规定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571" w:type="dxa"/>
            <w:gridSpan w:val="2"/>
            <w:vMerge w:val="continue"/>
            <w:vAlign w:val="center"/>
          </w:tcPr>
          <w:p>
            <w:pPr>
              <w:spacing w:line="400" w:lineRule="exact"/>
              <w:ind w:right="-128" w:rightChars="-61" w:firstLine="223"/>
              <w:rPr>
                <w:rFonts w:ascii="仿宋_GB2312" w:hAnsi="宋体" w:eastAsia="仿宋_GB2312"/>
                <w:sz w:val="28"/>
                <w:szCs w:val="28"/>
              </w:rPr>
            </w:pPr>
          </w:p>
        </w:tc>
        <w:tc>
          <w:tcPr>
            <w:tcW w:w="781" w:type="dxa"/>
            <w:vAlign w:val="center"/>
          </w:tcPr>
          <w:p>
            <w:pPr>
              <w:spacing w:line="400" w:lineRule="exact"/>
              <w:ind w:right="-128" w:rightChars="-61"/>
              <w:rPr>
                <w:rFonts w:hint="eastAsia" w:ascii="仿宋" w:hAnsi="仿宋" w:eastAsia="仿宋" w:cs="仿宋"/>
                <w:sz w:val="28"/>
                <w:szCs w:val="28"/>
              </w:rPr>
            </w:pPr>
          </w:p>
          <w:p>
            <w:pPr>
              <w:spacing w:line="400" w:lineRule="exact"/>
              <w:ind w:right="-128" w:rightChars="-61"/>
              <w:rPr>
                <w:rFonts w:hint="eastAsia" w:ascii="仿宋" w:hAnsi="仿宋" w:eastAsia="仿宋" w:cs="仿宋"/>
                <w:sz w:val="28"/>
                <w:szCs w:val="28"/>
              </w:rPr>
            </w:pPr>
            <w:r>
              <w:rPr>
                <w:rFonts w:hint="eastAsia" w:ascii="仿宋" w:hAnsi="仿宋" w:eastAsia="仿宋" w:cs="仿宋"/>
                <w:sz w:val="28"/>
                <w:szCs w:val="28"/>
              </w:rPr>
              <w:t>*8.3.1</w:t>
            </w:r>
          </w:p>
        </w:tc>
        <w:tc>
          <w:tcPr>
            <w:tcW w:w="570" w:type="dxa"/>
            <w:vAlign w:val="center"/>
          </w:tcPr>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第</w:t>
            </w:r>
          </w:p>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五</w:t>
            </w:r>
          </w:p>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十</w:t>
            </w:r>
          </w:p>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八</w:t>
            </w:r>
          </w:p>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条</w:t>
            </w:r>
          </w:p>
        </w:tc>
        <w:tc>
          <w:tcPr>
            <w:tcW w:w="6600" w:type="dxa"/>
            <w:gridSpan w:val="5"/>
          </w:tcPr>
          <w:p>
            <w:pPr>
              <w:rPr>
                <w:rFonts w:hint="eastAsia" w:ascii="仿宋" w:hAnsi="仿宋" w:eastAsia="仿宋" w:cs="仿宋"/>
                <w:sz w:val="28"/>
                <w:szCs w:val="28"/>
              </w:rPr>
            </w:pPr>
            <w:r>
              <w:rPr>
                <w:rFonts w:hint="eastAsia" w:ascii="仿宋" w:hAnsi="仿宋" w:eastAsia="仿宋" w:cs="仿宋"/>
                <w:sz w:val="28"/>
                <w:szCs w:val="28"/>
              </w:rPr>
              <w:t>未按《计数抽检验程序》（GB/T 2828.1-2012）制定产品的检验规程，如《单贴装发热温度测试规程》（DMD-JY-2002）的“四、采样：于每批生产完成的单贴装中随机抽取20贴”与《计数抽检验程序》要求不一致。</w:t>
            </w:r>
          </w:p>
          <w:p>
            <w:pPr>
              <w:rPr>
                <w:rFonts w:hint="eastAsia" w:ascii="仿宋" w:hAnsi="仿宋" w:eastAsia="仿宋" w:cs="仿宋"/>
                <w:sz w:val="28"/>
                <w:szCs w:val="28"/>
              </w:rPr>
            </w:pPr>
            <w:r>
              <w:rPr>
                <w:rFonts w:hint="eastAsia" w:ascii="仿宋" w:hAnsi="仿宋" w:eastAsia="仿宋" w:cs="仿宋"/>
                <w:sz w:val="28"/>
                <w:szCs w:val="28"/>
              </w:rPr>
              <w:t>未按《单贴装发热温度测试规程》（DMD-JY-2002）要求采样20贴，抽查2018年3月15日的消痛灸（批号20180301）温度抽查记录表，取样记录显示只有10贴，未按规程进行取样。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571" w:type="dxa"/>
            <w:gridSpan w:val="2"/>
            <w:vMerge w:val="continue"/>
            <w:vAlign w:val="center"/>
          </w:tcPr>
          <w:p>
            <w:pPr>
              <w:spacing w:line="400" w:lineRule="exact"/>
              <w:ind w:right="-128" w:rightChars="-61" w:firstLine="223"/>
              <w:rPr>
                <w:rFonts w:ascii="仿宋_GB2312" w:hAnsi="宋体" w:eastAsia="仿宋_GB2312"/>
                <w:sz w:val="28"/>
                <w:szCs w:val="28"/>
              </w:rPr>
            </w:pPr>
          </w:p>
        </w:tc>
        <w:tc>
          <w:tcPr>
            <w:tcW w:w="781" w:type="dxa"/>
            <w:vAlign w:val="center"/>
          </w:tcPr>
          <w:p>
            <w:pPr>
              <w:spacing w:line="400" w:lineRule="exact"/>
              <w:ind w:right="-128" w:rightChars="-61"/>
              <w:rPr>
                <w:rFonts w:hint="eastAsia" w:ascii="仿宋" w:hAnsi="仿宋" w:eastAsia="仿宋" w:cs="仿宋"/>
                <w:sz w:val="28"/>
                <w:szCs w:val="28"/>
              </w:rPr>
            </w:pPr>
            <w:r>
              <w:rPr>
                <w:rFonts w:hint="eastAsia" w:ascii="仿宋" w:hAnsi="仿宋" w:eastAsia="仿宋" w:cs="仿宋"/>
                <w:sz w:val="28"/>
                <w:szCs w:val="28"/>
              </w:rPr>
              <w:t>*8.5.1</w:t>
            </w:r>
          </w:p>
        </w:tc>
        <w:tc>
          <w:tcPr>
            <w:tcW w:w="570" w:type="dxa"/>
            <w:vAlign w:val="center"/>
          </w:tcPr>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第六十条</w:t>
            </w:r>
          </w:p>
        </w:tc>
        <w:tc>
          <w:tcPr>
            <w:tcW w:w="6600" w:type="dxa"/>
            <w:gridSpan w:val="5"/>
          </w:tcPr>
          <w:p>
            <w:pPr>
              <w:rPr>
                <w:rFonts w:hint="eastAsia" w:ascii="仿宋" w:hAnsi="仿宋" w:eastAsia="仿宋" w:cs="仿宋"/>
                <w:sz w:val="28"/>
                <w:szCs w:val="28"/>
              </w:rPr>
            </w:pPr>
            <w:r>
              <w:rPr>
                <w:rFonts w:hint="eastAsia" w:ascii="仿宋" w:hAnsi="仿宋" w:eastAsia="仿宋" w:cs="仿宋"/>
                <w:sz w:val="28"/>
                <w:szCs w:val="28"/>
              </w:rPr>
              <w:t xml:space="preserve"> 抽查2018年3月15日的消痛灸（批号20180301）温度抽查记录表，检测指标“持续时间”样品2（持续时间7.75)、样品3(持续时间7.83)、样品5(持续时间7)、样品10持续时间7.75)”与质量标准“持续时间≧8h”不符，未进行评估直接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restart"/>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一</w:t>
            </w:r>
          </w:p>
          <w:p>
            <w:pPr>
              <w:jc w:val="center"/>
              <w:rPr>
                <w:rFonts w:ascii="仿宋_GB2312" w:hAnsi="宋体" w:eastAsia="仿宋_GB2312"/>
                <w:b/>
                <w:bCs/>
                <w:sz w:val="28"/>
                <w:szCs w:val="28"/>
              </w:rPr>
            </w:pPr>
            <w:r>
              <w:rPr>
                <w:rFonts w:hint="eastAsia" w:ascii="仿宋_GB2312" w:hAnsi="宋体" w:eastAsia="仿宋_GB2312"/>
                <w:b/>
                <w:bCs/>
                <w:sz w:val="28"/>
                <w:szCs w:val="28"/>
              </w:rPr>
              <w:t>般</w:t>
            </w:r>
          </w:p>
          <w:p>
            <w:pPr>
              <w:jc w:val="center"/>
              <w:rPr>
                <w:rFonts w:ascii="仿宋_GB2312" w:hAnsi="宋体" w:eastAsia="仿宋_GB2312"/>
                <w:b/>
                <w:bCs/>
                <w:sz w:val="28"/>
                <w:szCs w:val="28"/>
              </w:rPr>
            </w:pPr>
            <w:r>
              <w:rPr>
                <w:rFonts w:hint="eastAsia" w:ascii="仿宋_GB2312" w:hAnsi="宋体" w:eastAsia="仿宋_GB2312"/>
                <w:b/>
                <w:bCs/>
                <w:sz w:val="28"/>
                <w:szCs w:val="28"/>
              </w:rPr>
              <w:t>项目</w:t>
            </w:r>
          </w:p>
        </w:tc>
        <w:tc>
          <w:tcPr>
            <w:tcW w:w="781" w:type="dxa"/>
            <w:vAlign w:val="center"/>
          </w:tcPr>
          <w:p>
            <w:pPr>
              <w:spacing w:line="400" w:lineRule="exact"/>
              <w:ind w:right="-128" w:rightChars="-61"/>
              <w:rPr>
                <w:rFonts w:hint="eastAsia" w:ascii="仿宋" w:hAnsi="仿宋" w:eastAsia="仿宋" w:cs="仿宋"/>
                <w:sz w:val="28"/>
                <w:szCs w:val="28"/>
              </w:rPr>
            </w:pPr>
            <w:r>
              <w:rPr>
                <w:rFonts w:hint="eastAsia" w:ascii="仿宋" w:hAnsi="仿宋" w:eastAsia="仿宋" w:cs="仿宋"/>
                <w:sz w:val="28"/>
                <w:szCs w:val="28"/>
              </w:rPr>
              <w:t>1.2.4</w:t>
            </w:r>
          </w:p>
        </w:tc>
        <w:tc>
          <w:tcPr>
            <w:tcW w:w="570" w:type="dxa"/>
            <w:vAlign w:val="center"/>
          </w:tcPr>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第六条</w:t>
            </w:r>
          </w:p>
        </w:tc>
        <w:tc>
          <w:tcPr>
            <w:tcW w:w="6600" w:type="dxa"/>
            <w:gridSpan w:val="5"/>
          </w:tcPr>
          <w:p>
            <w:pPr>
              <w:rPr>
                <w:rFonts w:hint="eastAsia" w:ascii="仿宋" w:hAnsi="仿宋" w:eastAsia="仿宋" w:cs="仿宋"/>
                <w:sz w:val="28"/>
                <w:szCs w:val="28"/>
              </w:rPr>
            </w:pPr>
            <w:r>
              <w:rPr>
                <w:rFonts w:hint="eastAsia" w:ascii="仿宋" w:hAnsi="仿宋" w:eastAsia="仿宋" w:cs="仿宋"/>
                <w:sz w:val="28"/>
                <w:szCs w:val="28"/>
              </w:rPr>
              <w:t>2017年11月18日开展管理评审，发现2项不合格项，现场未能提供2项不合格项的具体整改记录，仅提供了管理评审记录。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仿宋_GB2312" w:hAnsi="宋体" w:eastAsia="仿宋_GB2312"/>
                <w:sz w:val="28"/>
                <w:szCs w:val="28"/>
              </w:rPr>
            </w:pPr>
          </w:p>
        </w:tc>
        <w:tc>
          <w:tcPr>
            <w:tcW w:w="781" w:type="dxa"/>
            <w:vAlign w:val="center"/>
          </w:tcPr>
          <w:p>
            <w:pPr>
              <w:spacing w:line="400" w:lineRule="exact"/>
              <w:ind w:left="140" w:right="-128" w:rightChars="-61" w:hanging="140" w:hangingChars="50"/>
              <w:rPr>
                <w:rFonts w:hint="eastAsia" w:ascii="仿宋" w:hAnsi="仿宋" w:eastAsia="仿宋" w:cs="仿宋"/>
                <w:sz w:val="28"/>
                <w:szCs w:val="28"/>
              </w:rPr>
            </w:pPr>
            <w:r>
              <w:rPr>
                <w:rFonts w:hint="eastAsia" w:ascii="仿宋" w:hAnsi="仿宋" w:eastAsia="仿宋" w:cs="仿宋"/>
                <w:sz w:val="28"/>
                <w:szCs w:val="28"/>
              </w:rPr>
              <w:t>2.6.2</w:t>
            </w:r>
          </w:p>
        </w:tc>
        <w:tc>
          <w:tcPr>
            <w:tcW w:w="570" w:type="dxa"/>
            <w:vAlign w:val="center"/>
          </w:tcPr>
          <w:p>
            <w:pPr>
              <w:spacing w:line="320" w:lineRule="exact"/>
              <w:ind w:left="105" w:right="-128" w:rightChars="-61" w:hanging="140" w:hangingChars="50"/>
              <w:rPr>
                <w:rFonts w:hint="eastAsia" w:ascii="仿宋" w:hAnsi="仿宋" w:eastAsia="仿宋" w:cs="仿宋"/>
                <w:sz w:val="28"/>
                <w:szCs w:val="28"/>
              </w:rPr>
            </w:pPr>
            <w:r>
              <w:rPr>
                <w:rFonts w:hint="eastAsia" w:ascii="仿宋" w:hAnsi="仿宋" w:eastAsia="仿宋" w:cs="仿宋"/>
                <w:sz w:val="28"/>
                <w:szCs w:val="28"/>
              </w:rPr>
              <w:t>第十七条</w:t>
            </w:r>
          </w:p>
        </w:tc>
        <w:tc>
          <w:tcPr>
            <w:tcW w:w="6600" w:type="dxa"/>
            <w:gridSpan w:val="5"/>
          </w:tcPr>
          <w:p>
            <w:pPr>
              <w:rPr>
                <w:rFonts w:hint="eastAsia" w:ascii="仿宋" w:hAnsi="仿宋" w:eastAsia="仿宋" w:cs="仿宋"/>
                <w:sz w:val="28"/>
                <w:szCs w:val="28"/>
              </w:rPr>
            </w:pPr>
            <w:r>
              <w:rPr>
                <w:rFonts w:hint="eastAsia" w:ascii="仿宋" w:hAnsi="仿宋" w:eastAsia="仿宋" w:cs="仿宋"/>
                <w:sz w:val="28"/>
                <w:szCs w:val="28"/>
              </w:rPr>
              <w:t>现场发现有部份还原铁粉（外包装标识D3-2018-5-2-400暖化粉）存放在预留室，未存放在粉料库（原料库）；该批还原铁粉货位卡标识（内控批号：Y180301）来料日期（2018年5月24日）</w:t>
            </w:r>
          </w:p>
          <w:p>
            <w:pPr>
              <w:rPr>
                <w:rFonts w:hint="eastAsia" w:ascii="仿宋" w:hAnsi="仿宋" w:eastAsia="仿宋" w:cs="仿宋"/>
                <w:sz w:val="28"/>
                <w:szCs w:val="28"/>
              </w:rPr>
            </w:pPr>
            <w:r>
              <w:rPr>
                <w:rFonts w:hint="eastAsia" w:ascii="仿宋" w:hAnsi="仿宋" w:eastAsia="仿宋" w:cs="仿宋"/>
                <w:sz w:val="28"/>
                <w:szCs w:val="28"/>
              </w:rPr>
              <w:t>货位卡标识物料批号错误，未按《产品标识和可追溯性程序》（QP-7.5-04)规定进行标识。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781" w:type="dxa"/>
            <w:vAlign w:val="center"/>
          </w:tcPr>
          <w:p>
            <w:pPr>
              <w:spacing w:line="400" w:lineRule="exact"/>
              <w:ind w:right="-128" w:rightChars="-61"/>
              <w:rPr>
                <w:rFonts w:hint="eastAsia" w:ascii="仿宋" w:hAnsi="仿宋" w:eastAsia="仿宋" w:cs="仿宋"/>
                <w:sz w:val="28"/>
                <w:szCs w:val="28"/>
              </w:rPr>
            </w:pPr>
            <w:r>
              <w:rPr>
                <w:rFonts w:hint="eastAsia" w:ascii="仿宋" w:hAnsi="仿宋" w:eastAsia="仿宋" w:cs="仿宋"/>
                <w:sz w:val="28"/>
                <w:szCs w:val="28"/>
              </w:rPr>
              <w:t>4.2.2</w:t>
            </w:r>
          </w:p>
        </w:tc>
        <w:tc>
          <w:tcPr>
            <w:tcW w:w="570" w:type="dxa"/>
            <w:vAlign w:val="center"/>
          </w:tcPr>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第二十五条</w:t>
            </w:r>
          </w:p>
        </w:tc>
        <w:tc>
          <w:tcPr>
            <w:tcW w:w="6600" w:type="dxa"/>
            <w:gridSpan w:val="5"/>
          </w:tcPr>
          <w:p>
            <w:pPr>
              <w:rPr>
                <w:rFonts w:hint="eastAsia" w:ascii="仿宋" w:hAnsi="仿宋" w:eastAsia="仿宋" w:cs="仿宋"/>
                <w:sz w:val="28"/>
                <w:szCs w:val="28"/>
              </w:rPr>
            </w:pPr>
            <w:r>
              <w:rPr>
                <w:rFonts w:hint="eastAsia" w:ascii="仿宋" w:hAnsi="仿宋" w:eastAsia="仿宋" w:cs="仿宋"/>
                <w:sz w:val="28"/>
                <w:szCs w:val="28"/>
              </w:rPr>
              <w:t>《DCN贴膏复合机使用、清洁和维护保养操作规程》（SOP-SB-Q-02(A)）于2016年12月30日生效，在复合车间墙上悬挂为《DCN贴膏复合机组操作制度》显示时间为2013年5月15日，未及时收回。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781" w:type="dxa"/>
            <w:vAlign w:val="center"/>
          </w:tcPr>
          <w:p>
            <w:pPr>
              <w:spacing w:line="400" w:lineRule="exact"/>
              <w:ind w:right="-128" w:rightChars="-61"/>
              <w:rPr>
                <w:rFonts w:hint="eastAsia" w:ascii="仿宋" w:hAnsi="仿宋" w:eastAsia="仿宋" w:cs="仿宋"/>
                <w:sz w:val="28"/>
                <w:szCs w:val="28"/>
              </w:rPr>
            </w:pPr>
            <w:r>
              <w:rPr>
                <w:rFonts w:hint="eastAsia" w:ascii="仿宋" w:hAnsi="仿宋" w:eastAsia="仿宋" w:cs="仿宋"/>
                <w:sz w:val="28"/>
                <w:szCs w:val="28"/>
              </w:rPr>
              <w:t>8.2.1</w:t>
            </w:r>
          </w:p>
        </w:tc>
        <w:tc>
          <w:tcPr>
            <w:tcW w:w="570" w:type="dxa"/>
            <w:vAlign w:val="center"/>
          </w:tcPr>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第五十七条</w:t>
            </w:r>
          </w:p>
        </w:tc>
        <w:tc>
          <w:tcPr>
            <w:tcW w:w="6600" w:type="dxa"/>
            <w:gridSpan w:val="5"/>
          </w:tcPr>
          <w:p>
            <w:pPr>
              <w:rPr>
                <w:rFonts w:hint="eastAsia" w:ascii="仿宋" w:hAnsi="仿宋" w:eastAsia="仿宋" w:cs="仿宋"/>
                <w:sz w:val="28"/>
                <w:szCs w:val="28"/>
              </w:rPr>
            </w:pPr>
            <w:r>
              <w:rPr>
                <w:rFonts w:hint="eastAsia" w:ascii="仿宋" w:hAnsi="仿宋" w:eastAsia="仿宋" w:cs="仿宋"/>
                <w:sz w:val="28"/>
                <w:szCs w:val="28"/>
              </w:rPr>
              <w:t>检验设备尺子为塑料文具尺，没有进行检定或校准。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781" w:type="dxa"/>
            <w:vAlign w:val="center"/>
          </w:tcPr>
          <w:p>
            <w:pPr>
              <w:spacing w:line="400" w:lineRule="exact"/>
              <w:ind w:right="-128" w:rightChars="-61"/>
              <w:rPr>
                <w:rFonts w:hint="eastAsia" w:ascii="仿宋" w:hAnsi="仿宋" w:eastAsia="仿宋" w:cs="仿宋"/>
                <w:sz w:val="28"/>
                <w:szCs w:val="28"/>
              </w:rPr>
            </w:pPr>
            <w:r>
              <w:rPr>
                <w:rFonts w:hint="eastAsia" w:ascii="仿宋" w:hAnsi="仿宋" w:eastAsia="仿宋" w:cs="仿宋"/>
                <w:sz w:val="28"/>
                <w:szCs w:val="28"/>
              </w:rPr>
              <w:t>9.1.2</w:t>
            </w:r>
          </w:p>
        </w:tc>
        <w:tc>
          <w:tcPr>
            <w:tcW w:w="570" w:type="dxa"/>
            <w:vAlign w:val="center"/>
          </w:tcPr>
          <w:p>
            <w:pPr>
              <w:spacing w:line="320" w:lineRule="exact"/>
              <w:ind w:right="-128" w:rightChars="-61"/>
              <w:rPr>
                <w:rFonts w:hint="eastAsia" w:ascii="仿宋" w:hAnsi="仿宋" w:eastAsia="仿宋" w:cs="仿宋"/>
                <w:sz w:val="28"/>
                <w:szCs w:val="28"/>
              </w:rPr>
            </w:pPr>
            <w:r>
              <w:rPr>
                <w:rFonts w:hint="eastAsia" w:ascii="仿宋" w:hAnsi="仿宋" w:eastAsia="仿宋" w:cs="仿宋"/>
                <w:sz w:val="28"/>
                <w:szCs w:val="28"/>
              </w:rPr>
              <w:t>第六十二条</w:t>
            </w:r>
          </w:p>
        </w:tc>
        <w:tc>
          <w:tcPr>
            <w:tcW w:w="6600" w:type="dxa"/>
            <w:gridSpan w:val="5"/>
          </w:tcPr>
          <w:p>
            <w:pPr>
              <w:rPr>
                <w:rFonts w:hint="eastAsia" w:ascii="仿宋" w:hAnsi="仿宋" w:eastAsia="仿宋" w:cs="仿宋"/>
                <w:sz w:val="28"/>
                <w:szCs w:val="28"/>
              </w:rPr>
            </w:pPr>
            <w:r>
              <w:rPr>
                <w:rFonts w:hint="eastAsia" w:ascii="仿宋" w:hAnsi="仿宋" w:eastAsia="仿宋" w:cs="仿宋"/>
                <w:sz w:val="28"/>
                <w:szCs w:val="28"/>
              </w:rPr>
              <w:t>销售记录不完整，抽查企业2018年2月3日销售记录，其中购货单位没有单位地址和联系方式。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8522" w:type="dxa"/>
            <w:gridSpan w:val="9"/>
            <w:vAlign w:val="center"/>
          </w:tcPr>
          <w:p>
            <w:pPr>
              <w:spacing w:line="520" w:lineRule="exact"/>
              <w:jc w:val="center"/>
              <w:rPr>
                <w:szCs w:val="24"/>
              </w:rPr>
            </w:pPr>
            <w:r>
              <w:rPr>
                <w:rFonts w:hint="eastAsia" w:ascii="仿宋" w:hAnsi="仿宋" w:eastAsia="仿宋" w:cs="仿宋"/>
                <w:b/>
                <w:bCs/>
                <w:sz w:val="28"/>
                <w:szCs w:val="28"/>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9"/>
            <w:vAlign w:val="center"/>
          </w:tcPr>
          <w:p>
            <w:pPr>
              <w:ind w:firstLine="560" w:firstLineChars="200"/>
              <w:rPr>
                <w:szCs w:val="24"/>
              </w:rPr>
            </w:pPr>
            <w:r>
              <w:rPr>
                <w:rFonts w:hint="eastAsia" w:ascii="仿宋" w:hAnsi="仿宋" w:eastAsia="仿宋" w:cs="仿宋"/>
                <w:sz w:val="28"/>
                <w:szCs w:val="28"/>
                <w:lang w:val="en-US" w:eastAsia="zh-CN"/>
              </w:rPr>
              <w:t xml:space="preserve">  </w:t>
            </w:r>
          </w:p>
          <w:p>
            <w:pPr>
              <w:keepNext w:val="0"/>
              <w:keepLines w:val="0"/>
              <w:widowControl/>
              <w:suppressLineNumbers w:val="0"/>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福建今古通生物科技有限公司生产质量管理体系存在的问题可能影响医疗器械安全有效。根据《医疗器械监督管理条例》第二十五条规定，福建今古通生物科技有限公司应当立即停止生产活动进行整改</w:t>
            </w:r>
            <w:bookmarkStart w:id="0" w:name="_GoBack"/>
            <w:bookmarkEnd w:id="0"/>
            <w:r>
              <w:rPr>
                <w:rFonts w:hint="eastAsia" w:ascii="仿宋" w:hAnsi="仿宋" w:eastAsia="仿宋" w:cs="仿宋"/>
                <w:sz w:val="28"/>
                <w:szCs w:val="28"/>
                <w:lang w:val="en-US" w:eastAsia="zh-CN"/>
              </w:rPr>
              <w:t>，并向所在地食品药品监督管理部门报告。否则，依据《医疗器械监督管理条例》第六十七条规定依法予以处罚。</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宁德市食品药品监督管理局应督促企业评估产品安全风险，必要时应按照《医疗器械召回管理办法》的规定召回相关产品。</w:t>
            </w:r>
          </w:p>
          <w:p>
            <w:pPr>
              <w:ind w:firstLine="560" w:firstLineChars="200"/>
              <w:rPr>
                <w:szCs w:val="24"/>
              </w:rPr>
            </w:pPr>
            <w:r>
              <w:rPr>
                <w:rFonts w:hint="eastAsia" w:ascii="仿宋" w:hAnsi="仿宋" w:eastAsia="仿宋" w:cs="仿宋"/>
                <w:sz w:val="28"/>
                <w:szCs w:val="28"/>
                <w:lang w:val="en-US" w:eastAsia="zh-CN"/>
              </w:rPr>
              <w:t>企业整改完成后，应经宁德市食品药品监督管理局现场核实生产质量管理体系有效后，方可恢复生产。宁德市食品药品监督管理局应将企业恢复生产相关情况及时报送省局医疗器械处。</w:t>
            </w:r>
          </w:p>
        </w:tc>
      </w:tr>
    </w:tbl>
    <w:p>
      <w:pPr>
        <w:widowControl/>
        <w:spacing w:before="100" w:beforeAutospacing="1" w:after="100" w:afterAutospacing="1" w:line="280" w:lineRule="exact"/>
        <w:jc w:val="left"/>
        <w:rPr>
          <w:rFonts w:ascii="宋体" w:hAnsi="宋体"/>
          <w:kern w:val="0"/>
          <w:sz w:val="28"/>
          <w:szCs w:val="28"/>
        </w:rPr>
      </w:pPr>
    </w:p>
    <w:p>
      <w:pPr>
        <w:spacing w:line="520" w:lineRule="exact"/>
        <w:jc w:val="center"/>
        <w:rPr>
          <w:rFonts w:ascii="仿宋_GB2312" w:eastAsia="仿宋_GB2312"/>
          <w:b/>
          <w:bCs/>
          <w:sz w:val="44"/>
          <w:szCs w:val="44"/>
        </w:rPr>
      </w:pPr>
    </w:p>
    <w:p>
      <w:pPr>
        <w:spacing w:line="520" w:lineRule="exact"/>
        <w:jc w:val="center"/>
        <w:rPr>
          <w:rFonts w:ascii="仿宋_GB2312" w:eastAsia="仿宋_GB2312"/>
          <w:b/>
          <w:bCs/>
          <w:sz w:val="44"/>
          <w:szCs w:val="44"/>
        </w:rPr>
      </w:pPr>
    </w:p>
    <w:p>
      <w:pPr>
        <w:spacing w:line="520" w:lineRule="exact"/>
        <w:jc w:val="center"/>
        <w:rPr>
          <w:rFonts w:ascii="仿宋_GB2312" w:eastAsia="仿宋_GB2312"/>
          <w:b/>
          <w:bCs/>
          <w:sz w:val="44"/>
          <w:szCs w:val="44"/>
        </w:rPr>
      </w:pPr>
    </w:p>
    <w:p>
      <w:pPr>
        <w:spacing w:line="520" w:lineRule="exact"/>
        <w:jc w:val="center"/>
        <w:rPr>
          <w:rFonts w:ascii="仿宋_GB2312" w:eastAsia="仿宋_GB2312"/>
          <w:b/>
          <w:bCs/>
          <w:sz w:val="44"/>
          <w:szCs w:val="44"/>
        </w:rPr>
      </w:pPr>
    </w:p>
    <w:p>
      <w:pPr>
        <w:widowControl/>
        <w:spacing w:before="100" w:beforeAutospacing="1" w:after="100" w:afterAutospacing="1" w:line="280" w:lineRule="exact"/>
        <w:jc w:val="left"/>
        <w:rPr>
          <w:rFonts w:ascii="仿宋_GB2312" w:hAnsi="仿宋_GB2312" w:eastAsia="仿宋_GB2312" w:cs="仿宋_GB2312"/>
          <w:sz w:val="28"/>
          <w:szCs w:val="28"/>
        </w:rPr>
      </w:pPr>
    </w:p>
    <w:sectPr>
      <w:pgSz w:w="11906" w:h="16838"/>
      <w:pgMar w:top="1157" w:right="1800" w:bottom="115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altName w:val="宋体"/>
    <w:panose1 w:val="00000000000000000000"/>
    <w:charset w:val="86"/>
    <w:family w:val="script"/>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36237CB"/>
    <w:rsid w:val="007C4EB0"/>
    <w:rsid w:val="00903324"/>
    <w:rsid w:val="00B0434C"/>
    <w:rsid w:val="00B3408E"/>
    <w:rsid w:val="00C02201"/>
    <w:rsid w:val="00CB76C1"/>
    <w:rsid w:val="00CC5074"/>
    <w:rsid w:val="00D200A4"/>
    <w:rsid w:val="025446F4"/>
    <w:rsid w:val="05E668E6"/>
    <w:rsid w:val="06F93970"/>
    <w:rsid w:val="0A204B50"/>
    <w:rsid w:val="0AA7668C"/>
    <w:rsid w:val="0C1542DE"/>
    <w:rsid w:val="0CB547BF"/>
    <w:rsid w:val="153132DD"/>
    <w:rsid w:val="16E27477"/>
    <w:rsid w:val="1E8274C0"/>
    <w:rsid w:val="24EA7DE4"/>
    <w:rsid w:val="293811C2"/>
    <w:rsid w:val="33AB3CD3"/>
    <w:rsid w:val="34180263"/>
    <w:rsid w:val="408527BB"/>
    <w:rsid w:val="41051FBD"/>
    <w:rsid w:val="433C174C"/>
    <w:rsid w:val="436237CB"/>
    <w:rsid w:val="47967063"/>
    <w:rsid w:val="48C5471E"/>
    <w:rsid w:val="4ADC21F2"/>
    <w:rsid w:val="507C2B33"/>
    <w:rsid w:val="56654839"/>
    <w:rsid w:val="5B894EB1"/>
    <w:rsid w:val="5D3C4433"/>
    <w:rsid w:val="62D408E1"/>
    <w:rsid w:val="690E6278"/>
    <w:rsid w:val="74DB0D19"/>
    <w:rsid w:val="752D5B75"/>
    <w:rsid w:val="7C3356BB"/>
    <w:rsid w:val="7CBB4E7C"/>
    <w:rsid w:val="7E120BE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3452</Words>
  <Characters>951</Characters>
  <Lines>7</Lines>
  <Paragraphs>8</Paragraphs>
  <ScaleCrop>false</ScaleCrop>
  <LinksUpToDate>false</LinksUpToDate>
  <CharactersWithSpaces>4395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2018-06-01T02:33:00Z</dcterms:created>
  <dc:creator>lenovo</dc:creator>
  <cp:lastModifiedBy>lenovo</cp:lastModifiedBy>
  <cp:lastPrinted>2018-06-26T00:38:00Z</cp:lastPrinted>
  <dcterms:modified xsi:type="dcterms:W3CDTF">2018-08-17T09:46:05Z</dcterms:modified>
  <dc:title>医疗器械现场监督检查工作规程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