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对苏比克（福州）药械科技有限公司</w:t>
      </w:r>
      <w:r>
        <w:rPr>
          <w:rFonts w:hint="eastAsia" w:ascii="仿宋_GB2312" w:hAnsi="宋体" w:eastAsia="仿宋_GB2312"/>
          <w:b/>
          <w:bCs w:val="0"/>
          <w:sz w:val="36"/>
          <w:szCs w:val="36"/>
          <w:lang w:val="en-US" w:eastAsia="zh-CN"/>
        </w:rPr>
        <w:t>双随机检查通报</w:t>
      </w:r>
    </w:p>
    <w:tbl>
      <w:tblPr>
        <w:tblStyle w:val="5"/>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
        <w:gridCol w:w="1111"/>
        <w:gridCol w:w="525"/>
        <w:gridCol w:w="630"/>
        <w:gridCol w:w="1362"/>
        <w:gridCol w:w="870"/>
        <w:gridCol w:w="14"/>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企业名称</w:t>
            </w:r>
          </w:p>
        </w:tc>
        <w:tc>
          <w:tcPr>
            <w:tcW w:w="2862" w:type="dxa"/>
            <w:gridSpan w:val="3"/>
            <w:vAlign w:val="center"/>
          </w:tcPr>
          <w:p>
            <w:pPr>
              <w:snapToGrid w:val="0"/>
              <w:jc w:val="left"/>
              <w:rPr>
                <w:rFonts w:hint="eastAsia" w:ascii="仿宋_GB2312" w:eastAsia="仿宋_GB2312"/>
                <w:color w:val="000000"/>
                <w:sz w:val="28"/>
                <w:szCs w:val="28"/>
              </w:rPr>
            </w:pPr>
            <w:r>
              <w:rPr>
                <w:rFonts w:hint="eastAsia" w:ascii="仿宋_GB2312" w:eastAsia="仿宋_GB2312"/>
                <w:color w:val="000000"/>
                <w:sz w:val="28"/>
                <w:szCs w:val="28"/>
              </w:rPr>
              <w:t>苏比克（福州）药械科技有限公司</w:t>
            </w:r>
          </w:p>
        </w:tc>
        <w:tc>
          <w:tcPr>
            <w:tcW w:w="1649" w:type="dxa"/>
            <w:gridSpan w:val="2"/>
            <w:vAlign w:val="center"/>
          </w:tcPr>
          <w:p>
            <w:pPr>
              <w:snapToGrid w:val="0"/>
              <w:jc w:val="center"/>
              <w:rPr>
                <w:rFonts w:hint="eastAsia" w:ascii="仿宋_GB2312" w:eastAsia="仿宋_GB2312"/>
                <w:color w:val="000000"/>
                <w:sz w:val="28"/>
                <w:szCs w:val="28"/>
              </w:rPr>
            </w:pPr>
            <w:r>
              <w:rPr>
                <w:rFonts w:hint="eastAsia" w:ascii="仿宋_GB2312" w:eastAsia="仿宋_GB2312"/>
                <w:color w:val="000000"/>
                <w:sz w:val="28"/>
                <w:szCs w:val="28"/>
              </w:rPr>
              <w:t>法定代表人</w:t>
            </w:r>
          </w:p>
        </w:tc>
        <w:tc>
          <w:tcPr>
            <w:tcW w:w="1801" w:type="dxa"/>
            <w:vAlign w:val="center"/>
          </w:tcPr>
          <w:p>
            <w:pPr>
              <w:snapToGrid w:val="0"/>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唐意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206" w:type="dxa"/>
            <w:gridSpan w:val="4"/>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企业负责人</w:t>
            </w:r>
          </w:p>
        </w:tc>
        <w:tc>
          <w:tcPr>
            <w:tcW w:w="1992" w:type="dxa"/>
            <w:gridSpan w:val="2"/>
            <w:vAlign w:val="center"/>
          </w:tcPr>
          <w:p>
            <w:pPr>
              <w:snapToGrid w:val="0"/>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唐意</w:t>
            </w:r>
          </w:p>
        </w:tc>
        <w:tc>
          <w:tcPr>
            <w:tcW w:w="884" w:type="dxa"/>
            <w:gridSpan w:val="2"/>
            <w:vAlign w:val="center"/>
          </w:tcPr>
          <w:p>
            <w:pPr>
              <w:snapToGrid w:val="0"/>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3436" w:type="dxa"/>
            <w:gridSpan w:val="2"/>
            <w:vAlign w:val="center"/>
          </w:tcPr>
          <w:p>
            <w:pPr>
              <w:snapToGrid w:val="0"/>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06" w:type="dxa"/>
            <w:gridSpan w:val="4"/>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管理者代表</w:t>
            </w:r>
          </w:p>
        </w:tc>
        <w:tc>
          <w:tcPr>
            <w:tcW w:w="1992" w:type="dxa"/>
            <w:gridSpan w:val="2"/>
            <w:vAlign w:val="center"/>
          </w:tcPr>
          <w:p>
            <w:pPr>
              <w:snapToGrid w:val="0"/>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严光辉</w:t>
            </w:r>
          </w:p>
        </w:tc>
        <w:tc>
          <w:tcPr>
            <w:tcW w:w="884" w:type="dxa"/>
            <w:gridSpan w:val="2"/>
            <w:vAlign w:val="center"/>
          </w:tcPr>
          <w:p>
            <w:pPr>
              <w:snapToGrid w:val="0"/>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3436" w:type="dxa"/>
            <w:gridSpan w:val="2"/>
            <w:vAlign w:val="center"/>
          </w:tcPr>
          <w:p>
            <w:pPr>
              <w:snapToGrid w:val="0"/>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206" w:type="dxa"/>
            <w:gridSpan w:val="4"/>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注册地址</w:t>
            </w:r>
          </w:p>
        </w:tc>
        <w:tc>
          <w:tcPr>
            <w:tcW w:w="6312" w:type="dxa"/>
            <w:gridSpan w:val="6"/>
            <w:vAlign w:val="center"/>
          </w:tcPr>
          <w:p>
            <w:pPr>
              <w:snapToGrid w:val="0"/>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福建省福州市闽侯县南屿镇元峰村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生产地址</w:t>
            </w:r>
          </w:p>
        </w:tc>
        <w:tc>
          <w:tcPr>
            <w:tcW w:w="6312" w:type="dxa"/>
            <w:gridSpan w:val="6"/>
            <w:vAlign w:val="center"/>
          </w:tcPr>
          <w:p>
            <w:pPr>
              <w:snapToGrid w:val="0"/>
              <w:jc w:val="left"/>
              <w:rPr>
                <w:rFonts w:hint="eastAsia" w:ascii="仿宋_GB2312" w:eastAsia="仿宋_GB2312"/>
                <w:color w:val="000000"/>
                <w:sz w:val="28"/>
                <w:szCs w:val="28"/>
              </w:rPr>
            </w:pPr>
            <w:r>
              <w:rPr>
                <w:rFonts w:hint="eastAsia" w:ascii="仿宋_GB2312" w:eastAsia="仿宋_GB2312"/>
                <w:color w:val="000000"/>
                <w:sz w:val="28"/>
                <w:szCs w:val="28"/>
                <w:lang w:eastAsia="zh-CN"/>
              </w:rPr>
              <w:t>福建省福州市闽侯县南屿镇元峰村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检查日期</w:t>
            </w:r>
          </w:p>
        </w:tc>
        <w:tc>
          <w:tcPr>
            <w:tcW w:w="6312" w:type="dxa"/>
            <w:gridSpan w:val="6"/>
            <w:vAlign w:val="center"/>
          </w:tcPr>
          <w:p>
            <w:pPr>
              <w:snapToGrid w:val="0"/>
              <w:jc w:val="left"/>
              <w:rPr>
                <w:rFonts w:hint="eastAsia" w:ascii="仿宋_GB2312" w:eastAsia="仿宋_GB2312" w:cs="Times New Roman"/>
                <w:color w:val="000000"/>
                <w:sz w:val="28"/>
                <w:szCs w:val="28"/>
              </w:rPr>
            </w:pPr>
            <w:r>
              <w:rPr>
                <w:rFonts w:hint="eastAsia" w:ascii="仿宋_GB2312" w:eastAsia="仿宋_GB2312" w:cs="Times New Roman"/>
                <w:color w:val="000000"/>
                <w:sz w:val="28"/>
                <w:szCs w:val="28"/>
              </w:rPr>
              <w:t>2018年6月</w:t>
            </w:r>
            <w:r>
              <w:rPr>
                <w:rFonts w:hint="eastAsia" w:ascii="仿宋_GB2312" w:eastAsia="仿宋_GB2312" w:cs="Times New Roman"/>
                <w:color w:val="000000"/>
                <w:sz w:val="28"/>
                <w:szCs w:val="28"/>
                <w:lang w:val="en-US" w:eastAsia="zh-CN"/>
              </w:rPr>
              <w:t>6</w:t>
            </w:r>
            <w:r>
              <w:rPr>
                <w:rFonts w:hint="eastAsia" w:ascii="仿宋_GB2312" w:eastAsia="仿宋_GB2312" w:cs="Times New Roman"/>
                <w:color w:val="000000"/>
                <w:sz w:val="28"/>
                <w:szCs w:val="28"/>
              </w:rPr>
              <w:t>日</w:t>
            </w:r>
            <w:r>
              <w:rPr>
                <w:rFonts w:hint="eastAsia" w:ascii="仿宋_GB2312" w:eastAsia="仿宋_GB2312" w:cs="Times New Roman"/>
                <w:color w:val="000000"/>
                <w:sz w:val="28"/>
                <w:szCs w:val="28"/>
                <w:lang w:eastAsia="zh-CN"/>
              </w:rPr>
              <w:t>至</w:t>
            </w:r>
            <w:r>
              <w:rPr>
                <w:rFonts w:hint="eastAsia" w:ascii="仿宋_GB2312" w:eastAsia="仿宋_GB2312" w:cs="Times New Roman"/>
                <w:color w:val="000000"/>
                <w:sz w:val="28"/>
                <w:szCs w:val="28"/>
              </w:rPr>
              <w:t>2018年6月</w:t>
            </w:r>
            <w:r>
              <w:rPr>
                <w:rFonts w:hint="eastAsia" w:ascii="仿宋_GB2312" w:eastAsia="仿宋_GB2312" w:cs="Times New Roman"/>
                <w:color w:val="000000"/>
                <w:sz w:val="28"/>
                <w:szCs w:val="28"/>
                <w:lang w:val="en-US" w:eastAsia="zh-CN"/>
              </w:rPr>
              <w:t>8</w:t>
            </w:r>
            <w:r>
              <w:rPr>
                <w:rFonts w:hint="eastAsia" w:ascii="仿宋_GB2312" w:eastAsia="仿宋_GB2312"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产品类别</w:t>
            </w:r>
          </w:p>
        </w:tc>
        <w:tc>
          <w:tcPr>
            <w:tcW w:w="6312" w:type="dxa"/>
            <w:gridSpan w:val="6"/>
            <w:vAlign w:val="center"/>
          </w:tcPr>
          <w:p>
            <w:pPr>
              <w:snapToGrid w:val="0"/>
              <w:jc w:val="left"/>
              <w:rPr>
                <w:rFonts w:hint="eastAsia" w:ascii="仿宋_GB2312" w:eastAsia="仿宋_GB2312"/>
                <w:color w:val="000000"/>
                <w:sz w:val="28"/>
                <w:szCs w:val="28"/>
              </w:rPr>
            </w:pPr>
            <w:r>
              <w:rPr>
                <w:rFonts w:hint="eastAsia" w:ascii="仿宋_GB2312" w:eastAsia="仿宋_GB2312" w:cs="Times New Roman"/>
                <w:color w:val="000000"/>
                <w:sz w:val="28"/>
                <w:szCs w:val="28"/>
              </w:rPr>
              <w:t>√</w:t>
            </w:r>
            <w:r>
              <w:rPr>
                <w:rFonts w:hint="eastAsia" w:ascii="仿宋_GB2312" w:eastAsia="仿宋_GB2312"/>
                <w:bCs/>
                <w:color w:val="000000"/>
                <w:sz w:val="28"/>
                <w:szCs w:val="28"/>
              </w:rPr>
              <w:t>无菌医疗器械</w:t>
            </w:r>
            <w:r>
              <w:rPr>
                <w:rFonts w:ascii="仿宋_GB2312" w:eastAsia="仿宋_GB2312"/>
                <w:bCs/>
                <w:color w:val="000000"/>
                <w:sz w:val="28"/>
                <w:szCs w:val="28"/>
              </w:rPr>
              <w:t xml:space="preserve">  </w:t>
            </w:r>
            <w:r>
              <w:rPr>
                <w:rFonts w:hint="eastAsia" w:ascii="仿宋_GB2312" w:eastAsia="仿宋_GB2312"/>
                <w:bCs/>
                <w:color w:val="000000"/>
                <w:sz w:val="28"/>
                <w:szCs w:val="28"/>
              </w:rPr>
              <w:t xml:space="preserve"> </w:t>
            </w:r>
            <w:r>
              <w:rPr>
                <w:rFonts w:ascii="仿宋_GB2312" w:eastAsia="仿宋_GB2312"/>
                <w:bCs/>
                <w:color w:val="000000"/>
                <w:sz w:val="28"/>
                <w:szCs w:val="28"/>
              </w:rPr>
              <w:t xml:space="preserve"> </w:t>
            </w:r>
            <w:r>
              <w:rPr>
                <w:rFonts w:hint="eastAsia" w:ascii="仿宋_GB2312" w:eastAsia="仿宋_GB2312"/>
                <w:bCs/>
                <w:color w:val="000000"/>
                <w:sz w:val="28"/>
                <w:szCs w:val="28"/>
              </w:rPr>
              <w:t>□植入性医疗器械</w:t>
            </w:r>
            <w:r>
              <w:rPr>
                <w:rFonts w:ascii="仿宋_GB2312" w:eastAsia="仿宋_GB2312"/>
                <w:bCs/>
                <w:color w:val="000000"/>
                <w:sz w:val="28"/>
                <w:szCs w:val="28"/>
              </w:rPr>
              <w:t xml:space="preserve">   </w:t>
            </w:r>
            <w:r>
              <w:rPr>
                <w:rFonts w:hint="eastAsia" w:ascii="仿宋_GB2312" w:eastAsia="仿宋_GB2312"/>
                <w:bCs/>
                <w:color w:val="000000"/>
                <w:sz w:val="28"/>
                <w:szCs w:val="28"/>
              </w:rPr>
              <w:t xml:space="preserve">□体外诊断试剂   □定制式义齿    </w:t>
            </w:r>
            <w:r>
              <w:rPr>
                <w:rFonts w:hint="eastAsia" w:ascii="仿宋_GB2312" w:eastAsia="仿宋_GB2312" w:cs="Times New Roman"/>
                <w:color w:val="000000"/>
                <w:sz w:val="28"/>
                <w:szCs w:val="28"/>
              </w:rPr>
              <w:t>√</w:t>
            </w:r>
            <w:r>
              <w:rPr>
                <w:rFonts w:hint="eastAsia" w:ascii="仿宋_GB2312" w:eastAsia="仿宋_GB2312"/>
                <w:bCs/>
                <w:color w:val="000000"/>
                <w:sz w:val="28"/>
                <w:szCs w:val="28"/>
              </w:rPr>
              <w:t>其他医疗器械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抽查产品</w:t>
            </w:r>
          </w:p>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名称</w:t>
            </w:r>
          </w:p>
        </w:tc>
        <w:tc>
          <w:tcPr>
            <w:tcW w:w="6312" w:type="dxa"/>
            <w:gridSpan w:val="6"/>
            <w:vAlign w:val="center"/>
          </w:tcPr>
          <w:p>
            <w:pPr>
              <w:snapToGrid w:val="0"/>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液体创口贴、一次性使用无菌敷贴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检查目的和范围</w:t>
            </w:r>
          </w:p>
        </w:tc>
        <w:tc>
          <w:tcPr>
            <w:tcW w:w="6312" w:type="dxa"/>
            <w:gridSpan w:val="6"/>
            <w:vAlign w:val="center"/>
          </w:tcPr>
          <w:p>
            <w:pPr>
              <w:snapToGrid w:val="0"/>
              <w:spacing w:line="288" w:lineRule="auto"/>
              <w:jc w:val="center"/>
              <w:rPr>
                <w:rFonts w:hint="eastAsia" w:ascii="仿宋_GB2312" w:eastAsia="仿宋_GB2312"/>
                <w:color w:val="000000"/>
                <w:sz w:val="28"/>
                <w:szCs w:val="28"/>
              </w:rPr>
            </w:pPr>
            <w:r>
              <w:rPr>
                <w:rFonts w:hint="eastAsia" w:ascii="仿宋_GB2312" w:eastAsia="仿宋_GB2312"/>
                <w:bCs/>
                <w:color w:val="000000"/>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jc w:val="center"/>
        </w:trPr>
        <w:tc>
          <w:tcPr>
            <w:tcW w:w="2206" w:type="dxa"/>
            <w:gridSpan w:val="4"/>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检查依据</w:t>
            </w:r>
          </w:p>
        </w:tc>
        <w:tc>
          <w:tcPr>
            <w:tcW w:w="6312" w:type="dxa"/>
            <w:gridSpan w:val="6"/>
            <w:vAlign w:val="center"/>
          </w:tcPr>
          <w:p>
            <w:pPr>
              <w:snapToGrid w:val="0"/>
              <w:spacing w:line="288" w:lineRule="auto"/>
              <w:jc w:val="left"/>
              <w:rPr>
                <w:rFonts w:hint="eastAsia" w:ascii="仿宋_GB2312" w:eastAsia="仿宋_GB2312"/>
                <w:color w:val="000000"/>
                <w:sz w:val="28"/>
                <w:szCs w:val="28"/>
              </w:rPr>
            </w:pPr>
            <w:r>
              <w:rPr>
                <w:rFonts w:hint="eastAsia" w:ascii="仿宋_GB2312" w:eastAsia="仿宋_GB2312" w:cs="Times New Roman"/>
                <w:color w:val="000000"/>
                <w:sz w:val="28"/>
                <w:szCs w:val="28"/>
              </w:rPr>
              <w:t>√</w:t>
            </w:r>
            <w:r>
              <w:rPr>
                <w:rFonts w:hint="eastAsia" w:ascii="仿宋_GB2312" w:eastAsia="仿宋_GB2312"/>
                <w:color w:val="000000"/>
                <w:sz w:val="28"/>
                <w:szCs w:val="28"/>
              </w:rPr>
              <w:t>医疗器械生产质量管理规范（GMP）</w:t>
            </w:r>
          </w:p>
          <w:p>
            <w:pPr>
              <w:snapToGrid w:val="0"/>
              <w:spacing w:line="288" w:lineRule="auto"/>
              <w:jc w:val="left"/>
              <w:rPr>
                <w:rFonts w:hint="eastAsia" w:ascii="仿宋_GB2312" w:eastAsia="仿宋_GB2312"/>
                <w:color w:val="000000"/>
                <w:sz w:val="28"/>
                <w:szCs w:val="28"/>
              </w:rPr>
            </w:pPr>
            <w:r>
              <w:rPr>
                <w:rFonts w:hint="eastAsia" w:ascii="仿宋_GB2312" w:eastAsia="仿宋_GB2312" w:cs="Times New Roman"/>
                <w:color w:val="000000"/>
                <w:sz w:val="28"/>
                <w:szCs w:val="28"/>
              </w:rPr>
              <w:t>√</w:t>
            </w:r>
            <w:r>
              <w:rPr>
                <w:rFonts w:hint="eastAsia" w:ascii="仿宋_GB2312" w:eastAsia="仿宋_GB2312"/>
                <w:color w:val="000000"/>
                <w:sz w:val="28"/>
                <w:szCs w:val="28"/>
              </w:rPr>
              <w:t>医疗器械GMP附录及指导原则无菌医疗器械部分</w:t>
            </w:r>
          </w:p>
          <w:p>
            <w:pPr>
              <w:snapToGrid w:val="0"/>
              <w:spacing w:line="288" w:lineRule="auto"/>
              <w:jc w:val="left"/>
              <w:rPr>
                <w:rFonts w:hint="eastAsia" w:ascii="仿宋_GB2312" w:eastAsia="仿宋_GB2312"/>
                <w:color w:val="000000"/>
                <w:sz w:val="28"/>
                <w:szCs w:val="28"/>
              </w:rPr>
            </w:pPr>
            <w:r>
              <w:rPr>
                <w:rFonts w:hint="eastAsia" w:ascii="仿宋_GB2312" w:eastAsia="仿宋_GB2312"/>
                <w:color w:val="000000"/>
                <w:sz w:val="28"/>
                <w:szCs w:val="28"/>
              </w:rPr>
              <w:t>□医疗器械GMP附录及指导原则植入性医疗器械部分</w:t>
            </w:r>
          </w:p>
          <w:p>
            <w:pPr>
              <w:snapToGrid w:val="0"/>
              <w:spacing w:line="288" w:lineRule="auto"/>
              <w:jc w:val="left"/>
              <w:rPr>
                <w:rFonts w:hint="eastAsia" w:ascii="仿宋_GB2312" w:eastAsia="仿宋_GB2312"/>
                <w:color w:val="000000"/>
                <w:sz w:val="28"/>
                <w:szCs w:val="28"/>
              </w:rPr>
            </w:pPr>
            <w:r>
              <w:rPr>
                <w:rFonts w:hint="eastAsia" w:ascii="仿宋_GB2312" w:eastAsia="仿宋_GB2312"/>
                <w:color w:val="000000"/>
                <w:sz w:val="28"/>
                <w:szCs w:val="28"/>
              </w:rPr>
              <w:t>□医疗器械GMP附录及指导原则体外诊断试剂部分</w:t>
            </w:r>
          </w:p>
          <w:p>
            <w:pPr>
              <w:snapToGrid w:val="0"/>
              <w:spacing w:line="288" w:lineRule="auto"/>
              <w:jc w:val="left"/>
              <w:rPr>
                <w:rFonts w:hint="eastAsia" w:ascii="仿宋_GB2312" w:eastAsia="仿宋_GB2312"/>
                <w:color w:val="000000"/>
                <w:sz w:val="28"/>
                <w:szCs w:val="28"/>
              </w:rPr>
            </w:pPr>
            <w:r>
              <w:rPr>
                <w:rFonts w:hint="eastAsia" w:ascii="仿宋_GB2312" w:eastAsia="仿宋_GB2312"/>
                <w:color w:val="000000"/>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exact"/>
          <w:jc w:val="center"/>
        </w:trPr>
        <w:tc>
          <w:tcPr>
            <w:tcW w:w="2206" w:type="dxa"/>
            <w:gridSpan w:val="4"/>
            <w:tcBorders>
              <w:bottom w:val="single" w:color="auto" w:sz="4" w:space="0"/>
            </w:tcBorders>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声   明</w:t>
            </w:r>
          </w:p>
        </w:tc>
        <w:tc>
          <w:tcPr>
            <w:tcW w:w="6312" w:type="dxa"/>
            <w:gridSpan w:val="6"/>
            <w:tcBorders>
              <w:bottom w:val="single" w:color="auto" w:sz="4" w:space="0"/>
            </w:tcBorders>
            <w:vAlign w:val="center"/>
          </w:tcPr>
          <w:p>
            <w:pPr>
              <w:snapToGrid w:val="0"/>
              <w:spacing w:line="288" w:lineRule="auto"/>
              <w:jc w:val="center"/>
              <w:rPr>
                <w:rFonts w:hint="eastAsia" w:ascii="仿宋_GB2312" w:eastAsia="仿宋_GB2312"/>
                <w:color w:val="000000"/>
                <w:sz w:val="28"/>
                <w:szCs w:val="28"/>
              </w:rPr>
            </w:pPr>
            <w:r>
              <w:rPr>
                <w:rFonts w:hint="eastAsia" w:ascii="仿宋_GB2312" w:eastAsia="仿宋_GB2312"/>
                <w:color w:val="000000"/>
                <w:sz w:val="28"/>
                <w:szCs w:val="28"/>
              </w:rPr>
              <w:t>主要缺陷和问题及其判定依据</w:t>
            </w:r>
          </w:p>
          <w:p>
            <w:pPr>
              <w:snapToGrid w:val="0"/>
              <w:spacing w:line="288"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本表中所列出的缺陷和问题，只是本次发现，不代表企业缺陷和问题的全部。建立与本企业生产产品特点相适应的质量管理体系并保持其有效运行，是医疗器械生产企业的法定责任。</w:t>
            </w:r>
          </w:p>
          <w:p>
            <w:pPr>
              <w:snapToGrid w:val="0"/>
              <w:spacing w:line="288"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55" w:type="dxa"/>
            <w:vMerge w:val="restart"/>
            <w:tcBorders>
              <w:top w:val="single" w:color="auto" w:sz="4" w:space="0"/>
            </w:tcBorders>
            <w:vAlign w:val="center"/>
          </w:tcPr>
          <w:p>
            <w:pPr>
              <w:spacing w:line="400" w:lineRule="exact"/>
              <w:ind w:left="17" w:leftChars="-65" w:right="-128" w:rightChars="-61" w:hanging="153" w:hangingChars="64"/>
              <w:jc w:val="center"/>
              <w:rPr>
                <w:rFonts w:ascii="仿宋" w:eastAsia="仿宋"/>
                <w:color w:val="000000"/>
                <w:sz w:val="24"/>
                <w:szCs w:val="24"/>
              </w:rPr>
            </w:pPr>
          </w:p>
        </w:tc>
        <w:tc>
          <w:tcPr>
            <w:tcW w:w="2281" w:type="dxa"/>
            <w:gridSpan w:val="4"/>
            <w:tcBorders>
              <w:top w:val="single" w:color="auto" w:sz="4" w:space="0"/>
            </w:tcBorders>
            <w:vAlign w:val="center"/>
          </w:tcPr>
          <w:p>
            <w:pPr>
              <w:spacing w:line="400" w:lineRule="exact"/>
              <w:ind w:left="43" w:leftChars="-65" w:right="-128" w:rightChars="-61" w:hanging="179" w:hangingChars="64"/>
              <w:jc w:val="center"/>
              <w:rPr>
                <w:rFonts w:hint="eastAsia" w:ascii="仿宋_GB2312" w:eastAsia="仿宋_GB2312"/>
                <w:color w:val="000000"/>
                <w:sz w:val="28"/>
                <w:szCs w:val="28"/>
              </w:rPr>
            </w:pPr>
            <w:r>
              <w:rPr>
                <w:rFonts w:hint="eastAsia" w:ascii="仿宋_GB2312" w:eastAsia="仿宋_GB2312"/>
                <w:color w:val="000000"/>
                <w:sz w:val="28"/>
                <w:szCs w:val="28"/>
              </w:rPr>
              <w:t>依据条款</w:t>
            </w:r>
          </w:p>
        </w:tc>
        <w:tc>
          <w:tcPr>
            <w:tcW w:w="5682" w:type="dxa"/>
            <w:gridSpan w:val="5"/>
            <w:vMerge w:val="restart"/>
            <w:tcBorders>
              <w:top w:val="single" w:color="auto" w:sz="4" w:space="0"/>
            </w:tcBorders>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555" w:type="dxa"/>
            <w:vMerge w:val="continue"/>
            <w:vAlign w:val="center"/>
          </w:tcPr>
          <w:p/>
        </w:tc>
        <w:tc>
          <w:tcPr>
            <w:tcW w:w="1126" w:type="dxa"/>
            <w:gridSpan w:val="2"/>
            <w:vAlign w:val="center"/>
          </w:tcPr>
          <w:p>
            <w:pPr>
              <w:spacing w:line="400" w:lineRule="exact"/>
              <w:ind w:left="43" w:leftChars="-65" w:right="-128" w:rightChars="-61" w:hanging="179" w:hangingChars="64"/>
              <w:jc w:val="center"/>
              <w:rPr>
                <w:rFonts w:hint="eastAsia" w:ascii="仿宋_GB2312" w:eastAsia="仿宋_GB2312"/>
                <w:color w:val="000000"/>
                <w:sz w:val="28"/>
                <w:szCs w:val="28"/>
              </w:rPr>
            </w:pPr>
            <w:r>
              <w:rPr>
                <w:rFonts w:hint="eastAsia" w:ascii="仿宋_GB2312" w:eastAsia="仿宋_GB2312"/>
                <w:color w:val="000000"/>
                <w:sz w:val="28"/>
                <w:szCs w:val="28"/>
              </w:rPr>
              <w:t>规范</w:t>
            </w:r>
          </w:p>
        </w:tc>
        <w:tc>
          <w:tcPr>
            <w:tcW w:w="1155" w:type="dxa"/>
            <w:gridSpan w:val="2"/>
            <w:vAlign w:val="center"/>
          </w:tcPr>
          <w:p>
            <w:pPr>
              <w:spacing w:line="400" w:lineRule="exact"/>
              <w:ind w:left="43" w:leftChars="-65" w:right="-128" w:rightChars="-61" w:hanging="179" w:hangingChars="64"/>
              <w:jc w:val="center"/>
              <w:rPr>
                <w:rFonts w:hint="eastAsia" w:ascii="仿宋_GB2312" w:eastAsia="仿宋_GB2312"/>
                <w:color w:val="000000"/>
                <w:sz w:val="28"/>
                <w:szCs w:val="28"/>
              </w:rPr>
            </w:pPr>
            <w:r>
              <w:rPr>
                <w:rFonts w:hint="eastAsia" w:ascii="仿宋_GB2312" w:eastAsia="仿宋_GB2312"/>
                <w:color w:val="000000"/>
                <w:sz w:val="28"/>
                <w:szCs w:val="28"/>
              </w:rPr>
              <w:t>指导原则</w:t>
            </w:r>
          </w:p>
        </w:tc>
        <w:tc>
          <w:tcPr>
            <w:tcW w:w="5682"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570" w:type="dxa"/>
            <w:gridSpan w:val="2"/>
            <w:vAlign w:val="center"/>
          </w:tcPr>
          <w:p>
            <w:pPr>
              <w:spacing w:line="400" w:lineRule="exact"/>
              <w:ind w:left="18" w:leftChars="-65" w:right="-128" w:rightChars="-61" w:hanging="154" w:hangingChars="64"/>
              <w:jc w:val="center"/>
              <w:rPr>
                <w:rFonts w:ascii="仿宋" w:eastAsia="仿宋"/>
                <w:b/>
                <w:bCs/>
                <w:color w:val="000000"/>
                <w:sz w:val="24"/>
                <w:szCs w:val="24"/>
              </w:rPr>
            </w:pPr>
            <w:r>
              <w:rPr>
                <w:rFonts w:hint="eastAsia" w:ascii="仿宋" w:eastAsia="仿宋"/>
                <w:b/>
                <w:bCs/>
                <w:color w:val="000000"/>
                <w:sz w:val="24"/>
                <w:szCs w:val="24"/>
              </w:rPr>
              <w:t>关</w:t>
            </w:r>
          </w:p>
          <w:p>
            <w:pPr>
              <w:spacing w:line="400" w:lineRule="exact"/>
              <w:ind w:left="18" w:leftChars="-65" w:right="-128" w:rightChars="-61" w:hanging="154" w:hangingChars="64"/>
              <w:jc w:val="center"/>
              <w:rPr>
                <w:rFonts w:ascii="仿宋" w:eastAsia="仿宋"/>
                <w:b/>
                <w:bCs/>
                <w:color w:val="000000"/>
                <w:sz w:val="24"/>
                <w:szCs w:val="24"/>
              </w:rPr>
            </w:pPr>
            <w:r>
              <w:rPr>
                <w:rFonts w:hint="eastAsia" w:ascii="仿宋" w:eastAsia="仿宋"/>
                <w:b/>
                <w:bCs/>
                <w:color w:val="000000"/>
                <w:sz w:val="24"/>
                <w:szCs w:val="24"/>
              </w:rPr>
              <w:t>键</w:t>
            </w:r>
          </w:p>
          <w:p>
            <w:pPr>
              <w:spacing w:line="400" w:lineRule="exact"/>
              <w:ind w:left="18" w:leftChars="-65" w:right="-128" w:rightChars="-61" w:hanging="154" w:hangingChars="64"/>
              <w:jc w:val="center"/>
              <w:rPr>
                <w:rFonts w:ascii="仿宋" w:eastAsia="仿宋"/>
                <w:b/>
                <w:bCs/>
                <w:color w:val="000000"/>
                <w:sz w:val="24"/>
                <w:szCs w:val="24"/>
              </w:rPr>
            </w:pPr>
            <w:r>
              <w:rPr>
                <w:rFonts w:hint="eastAsia" w:ascii="仿宋" w:eastAsia="仿宋"/>
                <w:b/>
                <w:bCs/>
                <w:color w:val="000000"/>
                <w:sz w:val="24"/>
                <w:szCs w:val="24"/>
              </w:rPr>
              <w:t>项</w:t>
            </w:r>
          </w:p>
          <w:p>
            <w:pPr>
              <w:spacing w:line="400" w:lineRule="exact"/>
              <w:ind w:left="18" w:leftChars="-65" w:right="-128" w:rightChars="-61" w:hanging="154" w:hangingChars="64"/>
              <w:jc w:val="center"/>
              <w:rPr>
                <w:rFonts w:ascii="仿宋" w:eastAsia="仿宋"/>
                <w:color w:val="000000"/>
                <w:sz w:val="24"/>
                <w:szCs w:val="24"/>
              </w:rPr>
            </w:pPr>
            <w:r>
              <w:rPr>
                <w:rFonts w:hint="eastAsia" w:ascii="仿宋" w:eastAsia="仿宋"/>
                <w:b/>
                <w:bCs/>
                <w:color w:val="000000"/>
                <w:sz w:val="24"/>
                <w:szCs w:val="24"/>
              </w:rPr>
              <w:t>目</w:t>
            </w:r>
          </w:p>
        </w:tc>
        <w:tc>
          <w:tcPr>
            <w:tcW w:w="1111" w:type="dxa"/>
            <w:vAlign w:val="center"/>
          </w:tcPr>
          <w:p>
            <w:pPr>
              <w:spacing w:line="400" w:lineRule="exact"/>
              <w:ind w:right="-128" w:rightChars="-61"/>
              <w:jc w:val="center"/>
              <w:rPr>
                <w:rFonts w:hint="eastAsia" w:ascii="仿宋_GB2312" w:eastAsia="仿宋_GB2312"/>
                <w:color w:val="000000"/>
                <w:sz w:val="28"/>
                <w:szCs w:val="28"/>
              </w:rPr>
            </w:pPr>
          </w:p>
        </w:tc>
        <w:tc>
          <w:tcPr>
            <w:tcW w:w="1155" w:type="dxa"/>
            <w:gridSpan w:val="2"/>
            <w:vAlign w:val="center"/>
          </w:tcPr>
          <w:p>
            <w:pPr>
              <w:spacing w:line="400" w:lineRule="exact"/>
              <w:ind w:right="-128" w:rightChars="-61"/>
              <w:jc w:val="center"/>
              <w:rPr>
                <w:rFonts w:hint="eastAsia" w:ascii="仿宋_GB2312" w:eastAsia="仿宋_GB2312"/>
                <w:color w:val="000000"/>
                <w:sz w:val="28"/>
                <w:szCs w:val="28"/>
              </w:rPr>
            </w:pPr>
          </w:p>
        </w:tc>
        <w:tc>
          <w:tcPr>
            <w:tcW w:w="5682" w:type="dxa"/>
            <w:gridSpan w:val="5"/>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0" w:type="dxa"/>
            <w:gridSpan w:val="2"/>
            <w:vMerge w:val="restart"/>
            <w:vAlign w:val="center"/>
          </w:tcPr>
          <w:p>
            <w:pPr>
              <w:jc w:val="center"/>
              <w:rPr>
                <w:rFonts w:ascii="仿宋" w:eastAsia="仿宋"/>
                <w:b/>
                <w:bCs/>
                <w:color w:val="000000"/>
                <w:sz w:val="24"/>
                <w:szCs w:val="24"/>
              </w:rPr>
            </w:pPr>
            <w:r>
              <w:rPr>
                <w:rFonts w:hint="eastAsia" w:ascii="仿宋" w:eastAsia="仿宋"/>
                <w:b/>
                <w:bCs/>
                <w:color w:val="000000"/>
                <w:sz w:val="24"/>
                <w:szCs w:val="24"/>
              </w:rPr>
              <w:t>一</w:t>
            </w:r>
          </w:p>
          <w:p>
            <w:pPr>
              <w:jc w:val="center"/>
              <w:rPr>
                <w:rFonts w:ascii="仿宋" w:eastAsia="仿宋"/>
                <w:b/>
                <w:bCs/>
                <w:color w:val="000000"/>
                <w:sz w:val="24"/>
                <w:szCs w:val="24"/>
              </w:rPr>
            </w:pPr>
            <w:r>
              <w:rPr>
                <w:rFonts w:hint="eastAsia" w:ascii="仿宋" w:eastAsia="仿宋"/>
                <w:b/>
                <w:bCs/>
                <w:color w:val="000000"/>
                <w:sz w:val="24"/>
                <w:szCs w:val="24"/>
              </w:rPr>
              <w:t>般</w:t>
            </w:r>
          </w:p>
          <w:p>
            <w:pPr>
              <w:jc w:val="center"/>
              <w:rPr>
                <w:rFonts w:ascii="仿宋" w:eastAsia="仿宋"/>
                <w:color w:val="000000"/>
                <w:sz w:val="24"/>
                <w:szCs w:val="24"/>
              </w:rPr>
            </w:pPr>
            <w:r>
              <w:rPr>
                <w:rFonts w:hint="eastAsia" w:ascii="仿宋" w:eastAsia="仿宋"/>
                <w:b/>
                <w:bCs/>
                <w:color w:val="000000"/>
                <w:sz w:val="24"/>
                <w:szCs w:val="24"/>
              </w:rPr>
              <w:t>项目</w:t>
            </w:r>
          </w:p>
        </w:tc>
        <w:tc>
          <w:tcPr>
            <w:tcW w:w="1111" w:type="dxa"/>
            <w:vAlign w:val="center"/>
          </w:tcPr>
          <w:p>
            <w:pPr>
              <w:snapToGrid w:val="0"/>
              <w:spacing w:line="288" w:lineRule="auto"/>
              <w:jc w:val="center"/>
              <w:rPr>
                <w:rFonts w:hint="eastAsia" w:ascii="仿宋_GB2312" w:eastAsia="仿宋_GB2312" w:cs="宋体"/>
                <w:color w:val="000000"/>
                <w:sz w:val="28"/>
                <w:szCs w:val="28"/>
              </w:rPr>
            </w:pPr>
            <w:r>
              <w:rPr>
                <w:rFonts w:hint="eastAsia" w:ascii="仿宋_GB2312" w:eastAsia="仿宋_GB2312"/>
                <w:color w:val="000000"/>
                <w:sz w:val="28"/>
                <w:szCs w:val="28"/>
              </w:rPr>
              <w:t>附录2.1.2</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1.8.2</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现场查看，十万级洁净区男二更未挂穿衣指导挂图。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70" w:type="dxa"/>
            <w:gridSpan w:val="2"/>
            <w:vMerge w:val="continue"/>
            <w:vAlign w:val="center"/>
          </w:tcPr>
          <w:p/>
        </w:tc>
        <w:tc>
          <w:tcPr>
            <w:tcW w:w="1111" w:type="dxa"/>
            <w:vAlign w:val="center"/>
          </w:tcPr>
          <w:p>
            <w:pPr>
              <w:snapToGrid w:val="0"/>
              <w:spacing w:line="288" w:lineRule="auto"/>
              <w:jc w:val="center"/>
              <w:rPr>
                <w:rFonts w:hint="eastAsia" w:ascii="仿宋_GB2312" w:eastAsia="仿宋_GB2312" w:cs="宋体"/>
                <w:color w:val="000000"/>
                <w:sz w:val="28"/>
                <w:szCs w:val="28"/>
              </w:rPr>
            </w:pPr>
            <w:r>
              <w:rPr>
                <w:rFonts w:hint="eastAsia" w:ascii="仿宋_GB2312" w:eastAsia="仿宋_GB2312"/>
                <w:color w:val="000000"/>
                <w:sz w:val="28"/>
                <w:szCs w:val="28"/>
              </w:rPr>
              <w:t>附录2.1.4</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1.10.1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现场查看，十万级洁净区男二更已清洁的洁净工作服未标识有效期，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70" w:type="dxa"/>
            <w:gridSpan w:val="2"/>
            <w:vMerge w:val="continue"/>
            <w:vAlign w:val="center"/>
          </w:tcPr>
          <w:p/>
        </w:tc>
        <w:tc>
          <w:tcPr>
            <w:tcW w:w="1111" w:type="dxa"/>
            <w:vMerge w:val="restart"/>
            <w:vAlign w:val="center"/>
          </w:tcPr>
          <w:p>
            <w:pPr>
              <w:snapToGrid w:val="0"/>
              <w:spacing w:line="288" w:lineRule="auto"/>
              <w:jc w:val="center"/>
              <w:rPr>
                <w:rFonts w:hint="eastAsia" w:ascii="仿宋_GB2312" w:eastAsia="仿宋_GB2312" w:cs="宋体"/>
                <w:color w:val="000000"/>
                <w:sz w:val="28"/>
                <w:szCs w:val="28"/>
              </w:rPr>
            </w:pPr>
            <w:r>
              <w:rPr>
                <w:rFonts w:hint="eastAsia" w:ascii="仿宋_GB2312" w:eastAsia="仿宋_GB2312"/>
                <w:color w:val="000000"/>
                <w:sz w:val="28"/>
                <w:szCs w:val="28"/>
              </w:rPr>
              <w:t>第十七条</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2.6.1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原材料库无货架或栈板用于存放物料。企业未制订原材料仓库的温湿度要求。现场查看，半箱原材料平板计数琼脂存放在准备间，未退回原材料仓库储存。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70" w:type="dxa"/>
            <w:gridSpan w:val="2"/>
            <w:vMerge w:val="continue"/>
            <w:vAlign w:val="center"/>
          </w:tcPr>
          <w:p/>
        </w:tc>
        <w:tc>
          <w:tcPr>
            <w:tcW w:w="1111" w:type="dxa"/>
            <w:vMerge w:val="continue"/>
            <w:vAlign w:val="center"/>
          </w:tcP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2.6.2</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企业原材料库未划分不合格区，退货区。成品库不合格库内塞满不合格品未及时处理，未对不合格品设置货位卡管控其出入库情况。现场查看企业用于成品和原材料检验的分析天平间、仪器间、化学分析室均未设置待检区，合格区，不合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snapToGrid w:val="0"/>
              <w:spacing w:line="288" w:lineRule="auto"/>
              <w:jc w:val="center"/>
              <w:rPr>
                <w:rFonts w:hint="eastAsia" w:ascii="仿宋_GB2312" w:eastAsia="仿宋_GB2312" w:cs="宋体"/>
                <w:color w:val="000000"/>
                <w:sz w:val="28"/>
                <w:szCs w:val="28"/>
              </w:rPr>
            </w:pPr>
            <w:r>
              <w:rPr>
                <w:rFonts w:hint="eastAsia" w:ascii="仿宋_GB2312" w:eastAsia="仿宋_GB2312"/>
                <w:color w:val="000000"/>
                <w:sz w:val="28"/>
                <w:szCs w:val="28"/>
              </w:rPr>
              <w:t>附录</w:t>
            </w:r>
            <w:r>
              <w:rPr>
                <w:rFonts w:hint="eastAsia" w:ascii="仿宋_GB2312" w:eastAsia="仿宋_GB2312" w:cs="Times New Roman"/>
                <w:color w:val="000000"/>
                <w:sz w:val="28"/>
                <w:szCs w:val="28"/>
              </w:rPr>
              <w:t>2.2.2</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2.9.2</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现场查看，企业微生物限度实验室功能间（万级洁净区）对准备间（普通区）的压差计不能归零。企业未设置压差计对十万级洁净区更鞋间（非洁净区）和男一更（洁净区）之间的压差进行日常监控，把压差计设于测定外部走廊（非洁净区）与更鞋间（非洁净区）的压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570" w:type="dxa"/>
            <w:gridSpan w:val="2"/>
            <w:vMerge w:val="continue"/>
            <w:vAlign w:val="center"/>
          </w:tcPr>
          <w:p/>
        </w:tc>
        <w:tc>
          <w:tcPr>
            <w:tcW w:w="1111" w:type="dxa"/>
            <w:vAlign w:val="center"/>
          </w:tcPr>
          <w:p>
            <w:pPr>
              <w:widowControl/>
              <w:adjustRightInd w:val="0"/>
              <w:snapToGrid w:val="0"/>
              <w:spacing w:line="288" w:lineRule="auto"/>
              <w:jc w:val="center"/>
              <w:rPr>
                <w:rFonts w:hint="eastAsia" w:ascii="仿宋_GB2312" w:eastAsia="仿宋_GB2312"/>
                <w:color w:val="000000"/>
                <w:sz w:val="28"/>
                <w:szCs w:val="28"/>
              </w:rPr>
            </w:pPr>
            <w:r>
              <w:rPr>
                <w:rFonts w:hint="eastAsia" w:ascii="仿宋_GB2312" w:eastAsia="仿宋_GB2312"/>
                <w:color w:val="000000"/>
                <w:sz w:val="28"/>
                <w:szCs w:val="28"/>
              </w:rPr>
              <w:t>附录2.2.11</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2.18.1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企业十万级洁净区称量间无温湿度计。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70" w:type="dxa"/>
            <w:gridSpan w:val="2"/>
            <w:vMerge w:val="continue"/>
            <w:vAlign w:val="center"/>
          </w:tcPr>
          <w:p/>
        </w:tc>
        <w:tc>
          <w:tcPr>
            <w:tcW w:w="1111" w:type="dxa"/>
            <w:vMerge w:val="restart"/>
            <w:vAlign w:val="center"/>
          </w:tcPr>
          <w:p>
            <w:pPr>
              <w:widowControl/>
              <w:adjustRightInd w:val="0"/>
              <w:snapToGrid w:val="0"/>
              <w:spacing w:line="288" w:lineRule="auto"/>
              <w:jc w:val="center"/>
              <w:rPr>
                <w:rFonts w:hint="eastAsia" w:ascii="仿宋_GB2312" w:eastAsia="仿宋_GB2312"/>
                <w:color w:val="000000"/>
                <w:sz w:val="28"/>
                <w:szCs w:val="28"/>
              </w:rPr>
            </w:pPr>
            <w:r>
              <w:rPr>
                <w:rFonts w:hint="eastAsia" w:ascii="仿宋_GB2312" w:eastAsia="仿宋_GB2312"/>
                <w:color w:val="000000"/>
                <w:sz w:val="28"/>
                <w:szCs w:val="28"/>
              </w:rPr>
              <w:t>第二十条</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3.2.2</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生产现场已停用的超净工作台无停用标识。企业未对灌装机、混合罐、反应釜、模压式敷料切片机等生产设备设置状态标识。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70" w:type="dxa"/>
            <w:gridSpan w:val="2"/>
            <w:vMerge w:val="continue"/>
            <w:vAlign w:val="center"/>
          </w:tcPr>
          <w:p/>
        </w:tc>
        <w:tc>
          <w:tcPr>
            <w:tcW w:w="1111" w:type="dxa"/>
            <w:vMerge w:val="continue"/>
            <w:vAlign w:val="center"/>
          </w:tcP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3.2.3</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查看2017年的《空气净化系统清洁记录》（文件编号：SOR-WW-018），记录备注栏要求每二周清洗初效一次，每三月清洗中效一次，该规定未纳入操作规程文件中。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widowControl/>
              <w:adjustRightInd w:val="0"/>
              <w:snapToGrid w:val="0"/>
              <w:spacing w:line="288" w:lineRule="auto"/>
              <w:jc w:val="center"/>
              <w:rPr>
                <w:rFonts w:hint="eastAsia" w:ascii="仿宋_GB2312" w:eastAsia="仿宋_GB2312"/>
                <w:color w:val="000000"/>
                <w:sz w:val="28"/>
                <w:szCs w:val="28"/>
              </w:rPr>
            </w:pPr>
            <w:r>
              <w:rPr>
                <w:rFonts w:hint="eastAsia" w:ascii="仿宋_GB2312" w:eastAsia="仿宋_GB2312"/>
                <w:color w:val="000000"/>
                <w:sz w:val="28"/>
                <w:szCs w:val="28"/>
              </w:rPr>
              <w:t>第二十三条</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3.5.1</w:t>
            </w:r>
          </w:p>
        </w:tc>
        <w:tc>
          <w:tcPr>
            <w:tcW w:w="5682" w:type="dxa"/>
            <w:gridSpan w:val="5"/>
            <w:vAlign w:val="center"/>
          </w:tcPr>
          <w:p>
            <w:pPr>
              <w:snapToGrid w:val="0"/>
              <w:spacing w:line="360" w:lineRule="auto"/>
              <w:rPr>
                <w:rFonts w:hint="eastAsia" w:ascii="仿宋_GB2312" w:eastAsia="仿宋_GB2312" w:cs="宋体"/>
                <w:color w:val="000000"/>
                <w:sz w:val="28"/>
                <w:szCs w:val="28"/>
              </w:rPr>
            </w:pPr>
            <w:r>
              <w:rPr>
                <w:rFonts w:hint="eastAsia" w:ascii="仿宋_GB2312" w:eastAsia="仿宋_GB2312"/>
                <w:strike w:val="0"/>
                <w:dstrike w:val="0"/>
                <w:color w:val="000000"/>
                <w:sz w:val="28"/>
                <w:szCs w:val="28"/>
              </w:rPr>
              <w:t>企业十万级洁净区配料间的反应釜配套的水表未检定校准。查看阳性对照实验室功能间的生物安全柜未检定校准。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snapToGrid w:val="0"/>
              <w:spacing w:line="288" w:lineRule="auto"/>
              <w:jc w:val="center"/>
              <w:rPr>
                <w:rFonts w:hint="eastAsia" w:ascii="仿宋_GB2312" w:eastAsia="仿宋_GB2312"/>
                <w:color w:val="000000"/>
                <w:sz w:val="28"/>
                <w:szCs w:val="28"/>
              </w:rPr>
            </w:pPr>
            <w:r>
              <w:rPr>
                <w:rFonts w:hint="eastAsia" w:ascii="仿宋_GB2312" w:eastAsia="仿宋_GB2312"/>
                <w:color w:val="000000"/>
                <w:sz w:val="28"/>
                <w:szCs w:val="28"/>
              </w:rPr>
              <w:t>附录2</w:t>
            </w:r>
            <w:r>
              <w:rPr>
                <w:rFonts w:ascii="仿宋_GB2312" w:eastAsia="仿宋_GB2312"/>
                <w:color w:val="000000"/>
                <w:sz w:val="28"/>
                <w:szCs w:val="28"/>
              </w:rPr>
              <w:t>.3.</w:t>
            </w:r>
            <w:r>
              <w:rPr>
                <w:rFonts w:hint="eastAsia" w:ascii="仿宋_GB2312" w:eastAsia="仿宋_GB2312"/>
                <w:color w:val="000000"/>
                <w:sz w:val="28"/>
                <w:szCs w:val="28"/>
              </w:rPr>
              <w:t>4</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3.9.1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查看企业文件《纯化水制备岗位作业指导书》（文件编号：SOP-ZY-01），内含混合床操作规程，实际企业的制水系统无混合床组件。查看企业文件《两级反渗透纯化水机的使用、维护、保养、清洁标准操作规程》（文件编号：SOP-SS-03），未规定制水系统各耗材组件的更换周期要求，例如纯水箱呼吸器滤膜更换周期、紫外灭菌器的紫外灯管更换周期、RO膜组件的更换周期、安保过滤器的滤膜更换周期等。企业实际每季度采用氢氧化钠溶液对纯化水管道和储罐进行消毒，但未把定期消毒工作纳入操作规程文件中。十万级洁净区洗衣间的洗衣机送水管道不能回水，存在死水段易滋生细菌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snapToGrid w:val="0"/>
              <w:spacing w:line="288" w:lineRule="auto"/>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附录2.6.2</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7.13.1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企业无菌实验室操作间内超净工作台内台面有积尘，未做好清洁维护。查看十万级洁净区洁具间，未见用于清洁顶棚的洁具。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adjustRightInd w:val="0"/>
              <w:snapToGrid w:val="0"/>
              <w:spacing w:line="288" w:lineRule="auto"/>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附录2.6.6</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7.17.1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现场查看企业十万级洁净区各工作间无清场效期标识牌。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570" w:type="dxa"/>
            <w:gridSpan w:val="2"/>
            <w:vMerge w:val="continue"/>
            <w:vAlign w:val="center"/>
          </w:tcPr>
          <w:p/>
        </w:tc>
        <w:tc>
          <w:tcPr>
            <w:tcW w:w="1111" w:type="dxa"/>
            <w:vAlign w:val="center"/>
          </w:tcPr>
          <w:p>
            <w:pPr>
              <w:widowControl/>
              <w:tabs>
                <w:tab w:val="left" w:pos="3285"/>
              </w:tabs>
              <w:adjustRightInd w:val="0"/>
              <w:snapToGrid w:val="0"/>
              <w:spacing w:line="288" w:lineRule="auto"/>
              <w:jc w:val="center"/>
              <w:rPr>
                <w:rFonts w:hint="eastAsia" w:ascii="仿宋_GB2312" w:eastAsia="仿宋_GB2312"/>
                <w:color w:val="000000"/>
                <w:kern w:val="0"/>
                <w:sz w:val="28"/>
                <w:szCs w:val="28"/>
                <w:lang w:bidi="bn-IN"/>
              </w:rPr>
            </w:pPr>
            <w:r>
              <w:rPr>
                <w:rFonts w:hint="eastAsia" w:ascii="仿宋_GB2312" w:eastAsia="仿宋_GB2312"/>
                <w:color w:val="000000"/>
                <w:kern w:val="0"/>
                <w:sz w:val="28"/>
                <w:szCs w:val="28"/>
                <w:lang w:bidi="bn-IN"/>
              </w:rPr>
              <w:t>第五十九条</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8.4.2</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企业现场未能提供丙烯酸树脂（批号20161012）的来料检验记录。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0" w:type="dxa"/>
            <w:gridSpan w:val="2"/>
            <w:vMerge w:val="continue"/>
            <w:vAlign w:val="center"/>
          </w:tcPr>
          <w:p/>
        </w:tc>
        <w:tc>
          <w:tcPr>
            <w:tcW w:w="1111" w:type="dxa"/>
            <w:vAlign w:val="center"/>
          </w:tcPr>
          <w:p>
            <w:pPr>
              <w:snapToGrid w:val="0"/>
              <w:spacing w:line="288" w:lineRule="auto"/>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附录2.7.3</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8.9.1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查看企业文件制度《空气洁净度监测管理制度》（文件编号SMP-QQ-029）,规定每半年检测一次悬浮粒子、每季度检测一次沉降菌，企业现场只能提供2017年5月份的悬浮粒子和沉降菌检测报告，未能提供最近几次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70" w:type="dxa"/>
            <w:gridSpan w:val="2"/>
            <w:vMerge w:val="continue"/>
            <w:vAlign w:val="center"/>
          </w:tcPr>
          <w:p/>
        </w:tc>
        <w:tc>
          <w:tcPr>
            <w:tcW w:w="1111" w:type="dxa"/>
            <w:tcBorders>
              <w:tl2br w:val="nil"/>
              <w:tr2bl w:val="nil"/>
            </w:tcBorders>
            <w:vAlign w:val="center"/>
          </w:tcPr>
          <w:p>
            <w:pPr>
              <w:widowControl/>
              <w:adjustRightInd w:val="0"/>
              <w:snapToGrid w:val="0"/>
              <w:spacing w:line="288" w:lineRule="auto"/>
              <w:jc w:val="center"/>
              <w:rPr>
                <w:rFonts w:hint="eastAsia" w:ascii="仿宋_GB2312" w:eastAsia="仿宋_GB2312"/>
                <w:color w:val="000000"/>
                <w:kern w:val="0"/>
                <w:sz w:val="28"/>
                <w:szCs w:val="28"/>
              </w:rPr>
            </w:pPr>
            <w:r>
              <w:rPr>
                <w:rFonts w:hint="eastAsia" w:ascii="仿宋_GB2312" w:eastAsia="仿宋_GB2312"/>
                <w:color w:val="000000"/>
                <w:sz w:val="28"/>
                <w:szCs w:val="28"/>
              </w:rPr>
              <w:t>附录2.7.5</w:t>
            </w:r>
          </w:p>
        </w:tc>
        <w:tc>
          <w:tcPr>
            <w:tcW w:w="1155" w:type="dxa"/>
            <w:gridSpan w:val="2"/>
            <w:vAlign w:val="center"/>
          </w:tcPr>
          <w:p>
            <w:pPr>
              <w:snapToGrid w:val="0"/>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8.11.1</w:t>
            </w:r>
          </w:p>
        </w:tc>
        <w:tc>
          <w:tcPr>
            <w:tcW w:w="5682" w:type="dxa"/>
            <w:gridSpan w:val="5"/>
            <w:vAlign w:val="center"/>
          </w:tcPr>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企业留样室无温湿度控制设备，未对留样室的温湿度进行日常监控记录。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518" w:type="dxa"/>
            <w:gridSpan w:val="10"/>
            <w:vAlign w:val="center"/>
          </w:tcPr>
          <w:p>
            <w:pPr>
              <w:spacing w:line="520" w:lineRule="exact"/>
              <w:jc w:val="center"/>
              <w:rPr>
                <w:rFonts w:hint="eastAsia" w:ascii="仿宋_GB2312" w:eastAsia="仿宋_GB2312"/>
                <w:color w:val="000000"/>
                <w:sz w:val="28"/>
                <w:szCs w:val="28"/>
              </w:rPr>
            </w:pPr>
            <w:bookmarkStart w:id="0" w:name="_GoBack" w:colFirst="0" w:colLast="3"/>
            <w:r>
              <w:rPr>
                <w:rFonts w:hint="eastAsia" w:ascii="仿宋" w:hAnsi="仿宋" w:eastAsia="仿宋" w:cs="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8" w:type="dxa"/>
            <w:gridSpan w:val="10"/>
            <w:vAlign w:val="center"/>
          </w:tcPr>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lang w:val="en-US" w:eastAsia="zh-CN"/>
              </w:rPr>
              <w:t>针对该公司检查中发现的问题，福州市市场监督管理局应责令企业限期整改，必要时跟踪复查，并要求企业评估产品安全风险，对有可能导致安全隐患的，应按照《医疗器械召回管理办法》的规定召回相关产品。企业完成整改后，福州市市场监督管理局应将相关情况及时报送省局医疗器械处。</w:t>
            </w:r>
          </w:p>
        </w:tc>
      </w:tr>
      <w:bookmarkEnd w:id="0"/>
    </w:tbl>
    <w:p>
      <w:pPr>
        <w:rPr>
          <w:color w:val="000000"/>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6F020F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2765</Words>
  <Characters>3035</Characters>
  <Lines>358</Lines>
  <Paragraphs>167</Paragraphs>
  <TotalTime>0</TotalTime>
  <ScaleCrop>false</ScaleCrop>
  <LinksUpToDate>false</LinksUpToDate>
  <CharactersWithSpaces>3169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2018-06-25T08:46:17Z</cp:lastPrinted>
  <dcterms:modified xsi:type="dcterms:W3CDTF">2018-06-25T09:27:33Z</dcterms:modified>
  <dc:title>医疗器械现场监督检查工作规程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