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w:t>
      </w:r>
      <w:r>
        <w:rPr>
          <w:rFonts w:hint="eastAsia" w:ascii="仿宋_GB2312" w:hAnsi="宋体" w:eastAsia="仿宋_GB2312"/>
          <w:b/>
          <w:bCs w:val="0"/>
          <w:sz w:val="36"/>
          <w:szCs w:val="36"/>
          <w:lang w:val="en-US" w:eastAsia="zh-CN"/>
        </w:rPr>
        <w:t>福建长庚医疗生物科技有限公司双随机检查通报</w:t>
      </w:r>
    </w:p>
    <w:p>
      <w:pPr>
        <w:spacing w:afterLines="50"/>
        <w:jc w:val="center"/>
        <w:rPr>
          <w:rFonts w:ascii="仿宋" w:eastAsia="仿宋" w:cs="Times New Roman"/>
          <w:sz w:val="44"/>
          <w:szCs w:val="44"/>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1007"/>
        <w:gridCol w:w="973"/>
        <w:gridCol w:w="1650"/>
        <w:gridCol w:w="870"/>
        <w:gridCol w:w="15"/>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企业名称</w:t>
            </w:r>
          </w:p>
        </w:tc>
        <w:tc>
          <w:tcPr>
            <w:tcW w:w="2520" w:type="dxa"/>
            <w:gridSpan w:val="2"/>
            <w:vAlign w:val="center"/>
          </w:tcPr>
          <w:p>
            <w:pPr>
              <w:jc w:val="center"/>
              <w:rPr>
                <w:rFonts w:ascii="仿宋" w:eastAsia="仿宋" w:cs="Times New Roman"/>
                <w:sz w:val="24"/>
                <w:szCs w:val="24"/>
              </w:rPr>
            </w:pPr>
            <w:r>
              <w:rPr>
                <w:rFonts w:hint="eastAsia" w:ascii="仿宋" w:eastAsia="仿宋" w:cs="仿宋"/>
                <w:sz w:val="24"/>
                <w:szCs w:val="24"/>
              </w:rPr>
              <w:t>福建长庚医疗生物科技有限公司</w:t>
            </w:r>
          </w:p>
        </w:tc>
        <w:tc>
          <w:tcPr>
            <w:tcW w:w="1650" w:type="dxa"/>
            <w:gridSpan w:val="2"/>
            <w:vAlign w:val="center"/>
          </w:tcPr>
          <w:p>
            <w:pPr>
              <w:jc w:val="center"/>
              <w:rPr>
                <w:rFonts w:ascii="仿宋" w:eastAsia="仿宋" w:cs="Times New Roman"/>
                <w:sz w:val="24"/>
                <w:szCs w:val="24"/>
              </w:rPr>
            </w:pPr>
            <w:r>
              <w:rPr>
                <w:rFonts w:hint="eastAsia" w:ascii="仿宋" w:eastAsia="仿宋" w:cs="仿宋"/>
                <w:sz w:val="24"/>
                <w:szCs w:val="24"/>
              </w:rPr>
              <w:t>法定代表人</w:t>
            </w:r>
          </w:p>
        </w:tc>
        <w:tc>
          <w:tcPr>
            <w:tcW w:w="1801" w:type="dxa"/>
            <w:vAlign w:val="center"/>
          </w:tcPr>
          <w:p>
            <w:pPr>
              <w:jc w:val="center"/>
              <w:rPr>
                <w:rFonts w:ascii="仿宋" w:eastAsia="仿宋" w:cs="Times New Roman"/>
                <w:sz w:val="24"/>
                <w:szCs w:val="24"/>
              </w:rPr>
            </w:pPr>
            <w:r>
              <w:rPr>
                <w:rFonts w:hint="eastAsia" w:ascii="仿宋" w:eastAsia="仿宋" w:cs="仿宋"/>
                <w:sz w:val="24"/>
                <w:szCs w:val="24"/>
              </w:rPr>
              <w:t>汪同灿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2551" w:type="dxa"/>
            <w:gridSpan w:val="4"/>
            <w:vAlign w:val="center"/>
          </w:tcPr>
          <w:p>
            <w:pPr>
              <w:spacing w:line="400" w:lineRule="exact"/>
              <w:jc w:val="center"/>
              <w:rPr>
                <w:rFonts w:ascii="仿宋" w:eastAsia="仿宋" w:cs="Times New Roman"/>
                <w:sz w:val="24"/>
                <w:szCs w:val="24"/>
              </w:rPr>
            </w:pPr>
            <w:r>
              <w:rPr>
                <w:rFonts w:hint="eastAsia" w:ascii="仿宋" w:eastAsia="仿宋" w:cs="仿宋"/>
                <w:sz w:val="24"/>
                <w:szCs w:val="24"/>
              </w:rPr>
              <w:t>企业负责人</w:t>
            </w:r>
          </w:p>
        </w:tc>
        <w:tc>
          <w:tcPr>
            <w:tcW w:w="1650" w:type="dxa"/>
            <w:vAlign w:val="center"/>
          </w:tcPr>
          <w:p>
            <w:pPr>
              <w:jc w:val="center"/>
              <w:rPr>
                <w:rFonts w:ascii="仿宋" w:eastAsia="仿宋" w:cs="Times New Roman"/>
                <w:sz w:val="24"/>
                <w:szCs w:val="24"/>
              </w:rPr>
            </w:pPr>
            <w:r>
              <w:rPr>
                <w:rFonts w:hint="eastAsia" w:ascii="仿宋" w:eastAsia="仿宋" w:cs="仿宋"/>
                <w:sz w:val="24"/>
                <w:szCs w:val="24"/>
              </w:rPr>
              <w:t>方增坤</w:t>
            </w:r>
          </w:p>
        </w:tc>
        <w:tc>
          <w:tcPr>
            <w:tcW w:w="885" w:type="dxa"/>
            <w:gridSpan w:val="2"/>
            <w:vAlign w:val="center"/>
          </w:tcPr>
          <w:p>
            <w:pPr>
              <w:jc w:val="center"/>
              <w:rPr>
                <w:rFonts w:ascii="仿宋" w:eastAsia="仿宋" w:cs="Times New Roman"/>
                <w:sz w:val="24"/>
                <w:szCs w:val="24"/>
              </w:rPr>
            </w:pPr>
            <w:r>
              <w:rPr>
                <w:rFonts w:hint="eastAsia" w:ascii="仿宋" w:eastAsia="仿宋" w:cs="仿宋"/>
                <w:sz w:val="24"/>
                <w:szCs w:val="24"/>
              </w:rPr>
              <w:t>电话</w:t>
            </w:r>
          </w:p>
        </w:tc>
        <w:tc>
          <w:tcPr>
            <w:tcW w:w="3436" w:type="dxa"/>
            <w:gridSpan w:val="2"/>
            <w:vAlign w:val="center"/>
          </w:tcPr>
          <w:p>
            <w:pPr>
              <w:jc w:val="center"/>
              <w:rPr>
                <w:rFonts w:hint="eastAsia" w:ascii="仿宋" w:eastAsia="仿宋" w:cs="仿宋"/>
                <w:sz w:val="24"/>
                <w:szCs w:val="24"/>
                <w:lang w:eastAsia="zh-CN"/>
              </w:rPr>
            </w:pPr>
            <w:r>
              <w:rPr>
                <w:rFonts w:hint="eastAsia" w:asci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1" w:type="dxa"/>
            <w:gridSpan w:val="4"/>
            <w:vAlign w:val="center"/>
          </w:tcPr>
          <w:p>
            <w:pPr>
              <w:spacing w:line="400" w:lineRule="exact"/>
              <w:jc w:val="center"/>
              <w:rPr>
                <w:rFonts w:ascii="仿宋" w:eastAsia="仿宋" w:cs="Times New Roman"/>
                <w:sz w:val="24"/>
                <w:szCs w:val="24"/>
              </w:rPr>
            </w:pPr>
            <w:r>
              <w:rPr>
                <w:rFonts w:hint="eastAsia" w:ascii="仿宋" w:eastAsia="仿宋" w:cs="仿宋"/>
                <w:sz w:val="24"/>
                <w:szCs w:val="24"/>
              </w:rPr>
              <w:t>管理者代表</w:t>
            </w:r>
          </w:p>
        </w:tc>
        <w:tc>
          <w:tcPr>
            <w:tcW w:w="1650" w:type="dxa"/>
            <w:vAlign w:val="center"/>
          </w:tcPr>
          <w:p>
            <w:pPr>
              <w:jc w:val="center"/>
              <w:rPr>
                <w:rFonts w:ascii="仿宋" w:eastAsia="仿宋" w:cs="Times New Roman"/>
                <w:sz w:val="24"/>
                <w:szCs w:val="24"/>
              </w:rPr>
            </w:pPr>
            <w:r>
              <w:rPr>
                <w:rFonts w:hint="eastAsia" w:ascii="仿宋" w:eastAsia="仿宋" w:cs="仿宋"/>
                <w:sz w:val="24"/>
                <w:szCs w:val="24"/>
              </w:rPr>
              <w:t>张铭华</w:t>
            </w:r>
          </w:p>
        </w:tc>
        <w:tc>
          <w:tcPr>
            <w:tcW w:w="885" w:type="dxa"/>
            <w:gridSpan w:val="2"/>
            <w:vAlign w:val="center"/>
          </w:tcPr>
          <w:p>
            <w:pPr>
              <w:jc w:val="center"/>
              <w:rPr>
                <w:rFonts w:ascii="仿宋" w:eastAsia="仿宋" w:cs="Times New Roman"/>
                <w:sz w:val="24"/>
                <w:szCs w:val="24"/>
              </w:rPr>
            </w:pPr>
            <w:r>
              <w:rPr>
                <w:rFonts w:hint="eastAsia" w:ascii="仿宋" w:eastAsia="仿宋" w:cs="仿宋"/>
                <w:sz w:val="24"/>
                <w:szCs w:val="24"/>
              </w:rPr>
              <w:t>电话</w:t>
            </w:r>
          </w:p>
        </w:tc>
        <w:tc>
          <w:tcPr>
            <w:tcW w:w="3436" w:type="dxa"/>
            <w:gridSpan w:val="2"/>
            <w:vAlign w:val="center"/>
          </w:tcPr>
          <w:p>
            <w:pPr>
              <w:jc w:val="center"/>
              <w:rPr>
                <w:rFonts w:hint="eastAsia" w:ascii="仿宋" w:eastAsia="仿宋" w:cs="仿宋"/>
                <w:sz w:val="24"/>
                <w:szCs w:val="24"/>
                <w:lang w:val="en-US" w:eastAsia="zh-CN"/>
              </w:rPr>
            </w:pPr>
            <w:r>
              <w:rPr>
                <w:rFonts w:hint="eastAsia" w:asci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551" w:type="dxa"/>
            <w:gridSpan w:val="4"/>
            <w:vAlign w:val="center"/>
          </w:tcPr>
          <w:p>
            <w:pPr>
              <w:spacing w:line="400" w:lineRule="exact"/>
              <w:jc w:val="center"/>
              <w:rPr>
                <w:rFonts w:ascii="仿宋" w:eastAsia="仿宋" w:cs="Times New Roman"/>
                <w:sz w:val="24"/>
                <w:szCs w:val="24"/>
              </w:rPr>
            </w:pPr>
            <w:r>
              <w:rPr>
                <w:rFonts w:hint="eastAsia" w:ascii="仿宋" w:eastAsia="仿宋" w:cs="仿宋"/>
                <w:sz w:val="24"/>
                <w:szCs w:val="24"/>
              </w:rPr>
              <w:t>注册地址</w:t>
            </w:r>
          </w:p>
        </w:tc>
        <w:tc>
          <w:tcPr>
            <w:tcW w:w="5971" w:type="dxa"/>
            <w:gridSpan w:val="5"/>
            <w:vAlign w:val="center"/>
          </w:tcPr>
          <w:p>
            <w:pPr>
              <w:jc w:val="left"/>
              <w:rPr>
                <w:rFonts w:ascii="仿宋" w:eastAsia="仿宋" w:cs="Times New Roman"/>
                <w:sz w:val="24"/>
                <w:szCs w:val="24"/>
              </w:rPr>
            </w:pPr>
            <w:r>
              <w:rPr>
                <w:rFonts w:hint="eastAsia" w:ascii="仿宋" w:eastAsia="仿宋" w:cs="仿宋"/>
                <w:sz w:val="24"/>
                <w:szCs w:val="24"/>
              </w:rPr>
              <w:t>闽侯县甘蔗街道闽侯经济开发区二期南区</w:t>
            </w:r>
            <w:r>
              <w:rPr>
                <w:rFonts w:ascii="仿宋" w:eastAsia="仿宋" w:cs="仿宋"/>
                <w:sz w:val="24"/>
                <w:szCs w:val="24"/>
              </w:rPr>
              <w:t>1</w:t>
            </w:r>
            <w:r>
              <w:rPr>
                <w:rFonts w:hint="eastAsia" w:ascii="仿宋" w:eastAsia="仿宋" w:cs="仿宋"/>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生产地址</w:t>
            </w:r>
          </w:p>
        </w:tc>
        <w:tc>
          <w:tcPr>
            <w:tcW w:w="5971" w:type="dxa"/>
            <w:gridSpan w:val="5"/>
            <w:vAlign w:val="center"/>
          </w:tcPr>
          <w:p>
            <w:pPr>
              <w:jc w:val="left"/>
              <w:rPr>
                <w:rFonts w:ascii="仿宋" w:eastAsia="仿宋" w:cs="Times New Roman"/>
                <w:sz w:val="24"/>
                <w:szCs w:val="24"/>
              </w:rPr>
            </w:pPr>
            <w:r>
              <w:rPr>
                <w:rFonts w:hint="eastAsia" w:ascii="仿宋" w:eastAsia="仿宋" w:cs="仿宋"/>
                <w:sz w:val="24"/>
                <w:szCs w:val="24"/>
              </w:rPr>
              <w:t>闽侯县甘蔗街道闽侯经济开发区二期南区</w:t>
            </w:r>
            <w:r>
              <w:rPr>
                <w:rFonts w:ascii="仿宋" w:eastAsia="仿宋" w:cs="仿宋"/>
                <w:sz w:val="24"/>
                <w:szCs w:val="24"/>
              </w:rPr>
              <w:t>1</w:t>
            </w:r>
            <w:r>
              <w:rPr>
                <w:rFonts w:hint="eastAsia" w:ascii="仿宋" w:eastAsia="仿宋" w:cs="仿宋"/>
                <w:sz w:val="24"/>
                <w:szCs w:val="24"/>
              </w:rPr>
              <w:t>号（</w:t>
            </w:r>
            <w:r>
              <w:rPr>
                <w:rFonts w:ascii="仿宋" w:eastAsia="仿宋" w:cs="仿宋"/>
                <w:sz w:val="24"/>
                <w:szCs w:val="24"/>
              </w:rPr>
              <w:t>3</w:t>
            </w:r>
            <w:r>
              <w:rPr>
                <w:rFonts w:hint="eastAsia" w:ascii="仿宋" w:eastAsia="仿宋" w:cs="仿宋"/>
                <w:sz w:val="24"/>
                <w:szCs w:val="24"/>
              </w:rPr>
              <w:t>号楼</w:t>
            </w:r>
            <w:r>
              <w:rPr>
                <w:rFonts w:ascii="仿宋" w:eastAsia="仿宋" w:cs="仿宋"/>
                <w:sz w:val="24"/>
                <w:szCs w:val="24"/>
              </w:rPr>
              <w:t>1</w:t>
            </w:r>
            <w:r>
              <w:rPr>
                <w:rFonts w:hint="eastAsia" w:ascii="仿宋" w:eastAsia="仿宋" w:cs="仿宋"/>
                <w:sz w:val="24"/>
                <w:szCs w:val="24"/>
              </w:rPr>
              <w:t>－</w:t>
            </w:r>
            <w:r>
              <w:rPr>
                <w:rFonts w:ascii="仿宋" w:eastAsia="仿宋" w:cs="仿宋"/>
                <w:sz w:val="24"/>
                <w:szCs w:val="24"/>
              </w:rPr>
              <w:t>4</w:t>
            </w:r>
            <w:r>
              <w:rPr>
                <w:rFonts w:hint="eastAsia" w:ascii="仿宋" w:eastAsia="仿宋" w:cs="仿宋"/>
                <w:sz w:val="24"/>
                <w:szCs w:val="24"/>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检查日期</w:t>
            </w:r>
          </w:p>
        </w:tc>
        <w:tc>
          <w:tcPr>
            <w:tcW w:w="5971" w:type="dxa"/>
            <w:gridSpan w:val="5"/>
            <w:vAlign w:val="center"/>
          </w:tcPr>
          <w:p>
            <w:pPr>
              <w:jc w:val="center"/>
              <w:rPr>
                <w:rFonts w:ascii="仿宋" w:eastAsia="仿宋" w:cs="Times New Roman"/>
                <w:sz w:val="24"/>
                <w:szCs w:val="24"/>
              </w:rPr>
            </w:pPr>
            <w:r>
              <w:rPr>
                <w:rFonts w:ascii="仿宋" w:eastAsia="仿宋" w:cs="仿宋"/>
                <w:sz w:val="24"/>
                <w:szCs w:val="24"/>
              </w:rPr>
              <w:t>2018</w:t>
            </w:r>
            <w:r>
              <w:rPr>
                <w:rFonts w:hint="eastAsia" w:ascii="仿宋" w:eastAsia="仿宋" w:cs="仿宋"/>
                <w:sz w:val="24"/>
                <w:szCs w:val="24"/>
              </w:rPr>
              <w:t>年</w:t>
            </w:r>
            <w:r>
              <w:rPr>
                <w:rFonts w:ascii="仿宋" w:eastAsia="仿宋" w:cs="仿宋"/>
                <w:sz w:val="24"/>
                <w:szCs w:val="24"/>
              </w:rPr>
              <w:t>6</w:t>
            </w:r>
            <w:r>
              <w:rPr>
                <w:rFonts w:hint="eastAsia" w:ascii="仿宋" w:eastAsia="仿宋" w:cs="仿宋"/>
                <w:sz w:val="24"/>
                <w:szCs w:val="24"/>
              </w:rPr>
              <w:t>月</w:t>
            </w:r>
            <w:r>
              <w:rPr>
                <w:rFonts w:ascii="仿宋" w:eastAsia="仿宋" w:cs="仿宋"/>
                <w:sz w:val="24"/>
                <w:szCs w:val="24"/>
              </w:rPr>
              <w:t>4</w:t>
            </w:r>
            <w:r>
              <w:rPr>
                <w:rFonts w:hint="eastAsia" w:ascii="仿宋" w:eastAsia="仿宋" w:cs="仿宋"/>
                <w:sz w:val="24"/>
                <w:szCs w:val="24"/>
              </w:rPr>
              <w:t>日</w:t>
            </w:r>
            <w:r>
              <w:rPr>
                <w:rFonts w:ascii="仿宋" w:eastAsia="仿宋" w:cs="仿宋"/>
                <w:sz w:val="24"/>
                <w:szCs w:val="24"/>
              </w:rPr>
              <w:t>-2018</w:t>
            </w:r>
            <w:r>
              <w:rPr>
                <w:rFonts w:hint="eastAsia" w:ascii="仿宋" w:eastAsia="仿宋" w:cs="仿宋"/>
                <w:sz w:val="24"/>
                <w:szCs w:val="24"/>
              </w:rPr>
              <w:t>年</w:t>
            </w:r>
            <w:r>
              <w:rPr>
                <w:rFonts w:ascii="仿宋" w:eastAsia="仿宋" w:cs="仿宋"/>
                <w:sz w:val="24"/>
                <w:szCs w:val="24"/>
              </w:rPr>
              <w:t>6</w:t>
            </w:r>
            <w:r>
              <w:rPr>
                <w:rFonts w:hint="eastAsia" w:ascii="仿宋" w:eastAsia="仿宋" w:cs="仿宋"/>
                <w:sz w:val="24"/>
                <w:szCs w:val="24"/>
              </w:rPr>
              <w:t>月</w:t>
            </w:r>
            <w:r>
              <w:rPr>
                <w:rFonts w:ascii="仿宋" w:eastAsia="仿宋" w:cs="仿宋"/>
                <w:sz w:val="24"/>
                <w:szCs w:val="24"/>
              </w:rPr>
              <w:t>5</w:t>
            </w:r>
            <w:r>
              <w:rPr>
                <w:rFonts w:hint="eastAsia" w:asci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产品类别</w:t>
            </w:r>
          </w:p>
        </w:tc>
        <w:tc>
          <w:tcPr>
            <w:tcW w:w="5971" w:type="dxa"/>
            <w:gridSpan w:val="5"/>
            <w:vAlign w:val="center"/>
          </w:tcPr>
          <w:p>
            <w:pPr>
              <w:spacing w:line="520" w:lineRule="exact"/>
              <w:jc w:val="left"/>
              <w:rPr>
                <w:rFonts w:ascii="仿宋" w:eastAsia="仿宋" w:cs="Times New Roman"/>
                <w:sz w:val="24"/>
                <w:szCs w:val="24"/>
              </w:rPr>
            </w:pPr>
            <w:r>
              <w:rPr>
                <w:rFonts w:hint="eastAsia" w:ascii="仿宋" w:eastAsia="仿宋" w:cs="仿宋"/>
                <w:sz w:val="24"/>
                <w:szCs w:val="24"/>
              </w:rPr>
              <w:t>√无菌医疗器械</w:t>
            </w:r>
            <w:r>
              <w:rPr>
                <w:rFonts w:ascii="仿宋" w:eastAsia="仿宋" w:cs="仿宋"/>
                <w:sz w:val="24"/>
                <w:szCs w:val="24"/>
              </w:rPr>
              <w:t xml:space="preserve">  </w:t>
            </w:r>
            <w:r>
              <w:rPr>
                <w:rFonts w:hint="eastAsia" w:ascii="仿宋" w:eastAsia="仿宋" w:cs="仿宋"/>
                <w:sz w:val="24"/>
                <w:szCs w:val="24"/>
              </w:rPr>
              <w:t>□植入性医疗器械</w:t>
            </w:r>
            <w:r>
              <w:rPr>
                <w:rFonts w:ascii="仿宋" w:eastAsia="仿宋" w:cs="仿宋"/>
                <w:sz w:val="24"/>
                <w:szCs w:val="24"/>
              </w:rPr>
              <w:t xml:space="preserve"> </w:t>
            </w:r>
            <w:r>
              <w:rPr>
                <w:rFonts w:hint="eastAsia" w:ascii="仿宋" w:eastAsia="仿宋" w:cs="仿宋"/>
                <w:sz w:val="24"/>
                <w:szCs w:val="24"/>
              </w:rPr>
              <w:t>□体外诊断试剂</w:t>
            </w:r>
            <w:r>
              <w:rPr>
                <w:rFonts w:ascii="仿宋" w:eastAsia="仿宋" w:cs="仿宋"/>
                <w:sz w:val="24"/>
                <w:szCs w:val="24"/>
              </w:rPr>
              <w:t xml:space="preserve">   </w:t>
            </w:r>
            <w:r>
              <w:rPr>
                <w:rFonts w:hint="eastAsia" w:ascii="仿宋" w:eastAsia="仿宋" w:cs="仿宋"/>
                <w:sz w:val="24"/>
                <w:szCs w:val="24"/>
              </w:rPr>
              <w:t>□定制式义齿</w:t>
            </w:r>
            <w:r>
              <w:rPr>
                <w:rFonts w:ascii="仿宋" w:eastAsia="仿宋" w:cs="仿宋"/>
                <w:sz w:val="24"/>
                <w:szCs w:val="24"/>
              </w:rPr>
              <w:t xml:space="preserve">    </w:t>
            </w:r>
            <w:r>
              <w:rPr>
                <w:rFonts w:hint="eastAsia" w:ascii="仿宋" w:eastAsia="仿宋" w:cs="仿宋"/>
                <w:sz w:val="24"/>
                <w:szCs w:val="24"/>
              </w:rPr>
              <w:t>□其他医疗器械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抽查产品</w:t>
            </w:r>
          </w:p>
          <w:p>
            <w:pPr>
              <w:spacing w:line="520" w:lineRule="exact"/>
              <w:jc w:val="center"/>
              <w:rPr>
                <w:rFonts w:ascii="仿宋" w:eastAsia="仿宋" w:cs="Times New Roman"/>
                <w:sz w:val="24"/>
                <w:szCs w:val="24"/>
              </w:rPr>
            </w:pPr>
            <w:r>
              <w:rPr>
                <w:rFonts w:hint="eastAsia" w:ascii="仿宋" w:eastAsia="仿宋" w:cs="仿宋"/>
                <w:sz w:val="24"/>
                <w:szCs w:val="24"/>
              </w:rPr>
              <w:t>名称</w:t>
            </w:r>
          </w:p>
        </w:tc>
        <w:tc>
          <w:tcPr>
            <w:tcW w:w="5971" w:type="dxa"/>
            <w:gridSpan w:val="5"/>
            <w:vAlign w:val="center"/>
          </w:tcPr>
          <w:p>
            <w:pPr>
              <w:jc w:val="center"/>
              <w:rPr>
                <w:rFonts w:ascii="仿宋" w:eastAsia="仿宋" w:cs="Times New Roman"/>
                <w:sz w:val="24"/>
                <w:szCs w:val="24"/>
              </w:rPr>
            </w:pPr>
            <w:r>
              <w:rPr>
                <w:rFonts w:hint="eastAsia" w:ascii="仿宋" w:eastAsia="仿宋" w:cs="仿宋"/>
                <w:sz w:val="24"/>
                <w:szCs w:val="24"/>
              </w:rPr>
              <w:t>一次性使用血液透析管路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检查目的和范围</w:t>
            </w:r>
          </w:p>
        </w:tc>
        <w:tc>
          <w:tcPr>
            <w:tcW w:w="5971" w:type="dxa"/>
            <w:gridSpan w:val="5"/>
            <w:vAlign w:val="center"/>
          </w:tcPr>
          <w:p>
            <w:pPr>
              <w:jc w:val="center"/>
              <w:rPr>
                <w:rFonts w:ascii="仿宋" w:eastAsia="仿宋" w:cs="Times New Roman"/>
                <w:sz w:val="24"/>
                <w:szCs w:val="24"/>
              </w:rPr>
            </w:pPr>
            <w:r>
              <w:rPr>
                <w:rFonts w:hint="eastAsia" w:ascii="仿宋" w:eastAsia="仿宋" w:cs="仿宋"/>
                <w:sz w:val="24"/>
                <w:szCs w:val="24"/>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检查依据</w:t>
            </w:r>
          </w:p>
        </w:tc>
        <w:tc>
          <w:tcPr>
            <w:tcW w:w="5971" w:type="dxa"/>
            <w:gridSpan w:val="5"/>
            <w:vAlign w:val="center"/>
          </w:tcPr>
          <w:p>
            <w:pPr>
              <w:spacing w:line="520" w:lineRule="exact"/>
              <w:jc w:val="left"/>
              <w:rPr>
                <w:rFonts w:ascii="仿宋" w:eastAsia="仿宋" w:cs="Times New Roman"/>
                <w:sz w:val="24"/>
                <w:szCs w:val="24"/>
              </w:rPr>
            </w:pPr>
            <w:r>
              <w:rPr>
                <w:rFonts w:hint="eastAsia" w:ascii="仿宋" w:eastAsia="仿宋" w:cs="仿宋"/>
                <w:sz w:val="24"/>
                <w:szCs w:val="24"/>
              </w:rPr>
              <w:t>√医疗器械生产质量管理规范（</w:t>
            </w:r>
            <w:r>
              <w:rPr>
                <w:rFonts w:ascii="仿宋" w:eastAsia="仿宋" w:cs="仿宋"/>
                <w:sz w:val="24"/>
                <w:szCs w:val="24"/>
              </w:rPr>
              <w:t>GMP</w:t>
            </w:r>
            <w:r>
              <w:rPr>
                <w:rFonts w:hint="eastAsia" w:ascii="仿宋" w:eastAsia="仿宋" w:cs="仿宋"/>
                <w:sz w:val="24"/>
                <w:szCs w:val="24"/>
              </w:rPr>
              <w:t>）</w:t>
            </w:r>
          </w:p>
          <w:p>
            <w:pPr>
              <w:spacing w:line="520" w:lineRule="exact"/>
              <w:jc w:val="left"/>
              <w:rPr>
                <w:rFonts w:ascii="仿宋" w:eastAsia="仿宋" w:cs="Times New Roman"/>
                <w:sz w:val="24"/>
                <w:szCs w:val="24"/>
              </w:rPr>
            </w:pPr>
            <w:r>
              <w:rPr>
                <w:rFonts w:hint="eastAsia" w:ascii="仿宋" w:eastAsia="仿宋" w:cs="仿宋"/>
                <w:sz w:val="24"/>
                <w:szCs w:val="24"/>
              </w:rPr>
              <w:t>√医疗器械</w:t>
            </w:r>
            <w:r>
              <w:rPr>
                <w:rFonts w:ascii="仿宋" w:eastAsia="仿宋" w:cs="仿宋"/>
                <w:sz w:val="24"/>
                <w:szCs w:val="24"/>
              </w:rPr>
              <w:t>GMP</w:t>
            </w:r>
            <w:r>
              <w:rPr>
                <w:rFonts w:hint="eastAsia" w:ascii="仿宋" w:eastAsia="仿宋" w:cs="仿宋"/>
                <w:sz w:val="24"/>
                <w:szCs w:val="24"/>
              </w:rPr>
              <w:t>附录及指导原则无菌医疗器械部分</w:t>
            </w:r>
          </w:p>
          <w:p>
            <w:pPr>
              <w:spacing w:line="520" w:lineRule="exact"/>
              <w:jc w:val="left"/>
              <w:rPr>
                <w:rFonts w:ascii="仿宋" w:eastAsia="仿宋" w:cs="Times New Roman"/>
                <w:sz w:val="24"/>
                <w:szCs w:val="24"/>
              </w:rPr>
            </w:pPr>
            <w:r>
              <w:rPr>
                <w:rFonts w:hint="eastAsia" w:ascii="仿宋" w:eastAsia="仿宋" w:cs="仿宋"/>
                <w:sz w:val="24"/>
                <w:szCs w:val="24"/>
              </w:rPr>
              <w:t>□医疗器械</w:t>
            </w:r>
            <w:r>
              <w:rPr>
                <w:rFonts w:ascii="仿宋" w:eastAsia="仿宋" w:cs="仿宋"/>
                <w:sz w:val="24"/>
                <w:szCs w:val="24"/>
              </w:rPr>
              <w:t>GMP</w:t>
            </w:r>
            <w:r>
              <w:rPr>
                <w:rFonts w:hint="eastAsia" w:ascii="仿宋" w:eastAsia="仿宋" w:cs="仿宋"/>
                <w:sz w:val="24"/>
                <w:szCs w:val="24"/>
              </w:rPr>
              <w:t>附录及指导原则植入性医疗器械部分</w:t>
            </w:r>
          </w:p>
          <w:p>
            <w:pPr>
              <w:spacing w:line="520" w:lineRule="exact"/>
              <w:jc w:val="left"/>
              <w:rPr>
                <w:rFonts w:ascii="仿宋" w:eastAsia="仿宋" w:cs="Times New Roman"/>
                <w:sz w:val="24"/>
                <w:szCs w:val="24"/>
              </w:rPr>
            </w:pPr>
            <w:r>
              <w:rPr>
                <w:rFonts w:hint="eastAsia" w:ascii="仿宋" w:eastAsia="仿宋" w:cs="仿宋"/>
                <w:sz w:val="24"/>
                <w:szCs w:val="24"/>
              </w:rPr>
              <w:t>□医疗器械</w:t>
            </w:r>
            <w:r>
              <w:rPr>
                <w:rFonts w:ascii="仿宋" w:eastAsia="仿宋" w:cs="仿宋"/>
                <w:sz w:val="24"/>
                <w:szCs w:val="24"/>
              </w:rPr>
              <w:t>GMP</w:t>
            </w:r>
            <w:r>
              <w:rPr>
                <w:rFonts w:hint="eastAsia" w:ascii="仿宋" w:eastAsia="仿宋" w:cs="仿宋"/>
                <w:sz w:val="24"/>
                <w:szCs w:val="24"/>
              </w:rPr>
              <w:t>附录及指导原则体外诊断试剂部分</w:t>
            </w:r>
          </w:p>
          <w:p>
            <w:pPr>
              <w:jc w:val="left"/>
              <w:rPr>
                <w:rFonts w:ascii="仿宋" w:eastAsia="仿宋" w:cs="Times New Roman"/>
                <w:sz w:val="24"/>
                <w:szCs w:val="24"/>
              </w:rPr>
            </w:pPr>
            <w:r>
              <w:rPr>
                <w:rFonts w:hint="eastAsia" w:ascii="仿宋" w:eastAsia="仿宋" w:cs="仿宋"/>
                <w:sz w:val="24"/>
                <w:szCs w:val="24"/>
              </w:rPr>
              <w:t>□医疗器械</w:t>
            </w:r>
            <w:r>
              <w:rPr>
                <w:rFonts w:ascii="仿宋" w:eastAsia="仿宋" w:cs="仿宋"/>
                <w:sz w:val="24"/>
                <w:szCs w:val="24"/>
              </w:rPr>
              <w:t>GMP</w:t>
            </w:r>
            <w:r>
              <w:rPr>
                <w:rFonts w:hint="eastAsia" w:ascii="仿宋" w:eastAsia="仿宋" w:cs="仿宋"/>
                <w:sz w:val="24"/>
                <w:szCs w:val="24"/>
              </w:rPr>
              <w:t>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2551"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声</w:t>
            </w:r>
            <w:r>
              <w:rPr>
                <w:rFonts w:ascii="仿宋" w:eastAsia="仿宋" w:cs="仿宋"/>
                <w:sz w:val="24"/>
                <w:szCs w:val="24"/>
              </w:rPr>
              <w:t xml:space="preserve">   </w:t>
            </w:r>
            <w:r>
              <w:rPr>
                <w:rFonts w:hint="eastAsia" w:ascii="仿宋" w:eastAsia="仿宋" w:cs="仿宋"/>
                <w:sz w:val="24"/>
                <w:szCs w:val="24"/>
              </w:rPr>
              <w:t>明</w:t>
            </w:r>
          </w:p>
        </w:tc>
        <w:tc>
          <w:tcPr>
            <w:tcW w:w="5971" w:type="dxa"/>
            <w:gridSpan w:val="5"/>
            <w:vAlign w:val="center"/>
          </w:tcPr>
          <w:p>
            <w:pPr>
              <w:snapToGrid w:val="0"/>
              <w:spacing w:line="300" w:lineRule="atLeast"/>
              <w:jc w:val="center"/>
              <w:rPr>
                <w:rFonts w:ascii="仿宋" w:eastAsia="仿宋" w:cs="Times New Roman"/>
                <w:sz w:val="24"/>
                <w:szCs w:val="24"/>
              </w:rPr>
            </w:pPr>
            <w:r>
              <w:rPr>
                <w:rFonts w:hint="eastAsia" w:ascii="仿宋" w:eastAsia="仿宋" w:cs="仿宋"/>
                <w:sz w:val="24"/>
                <w:szCs w:val="24"/>
              </w:rPr>
              <w:t>主要缺陷和问题及其判定依据</w:t>
            </w:r>
          </w:p>
          <w:p>
            <w:pPr>
              <w:spacing w:line="520" w:lineRule="exact"/>
              <w:ind w:firstLine="480" w:firstLineChars="200"/>
              <w:rPr>
                <w:rFonts w:ascii="仿宋" w:eastAsia="仿宋" w:cs="Times New Roman"/>
                <w:sz w:val="24"/>
                <w:szCs w:val="24"/>
              </w:rPr>
            </w:pPr>
            <w:r>
              <w:rPr>
                <w:rFonts w:hint="eastAsia" w:ascii="仿宋" w:eastAsia="仿宋" w:cs="仿宋"/>
                <w:sz w:val="24"/>
                <w:szCs w:val="24"/>
              </w:rPr>
              <w:t>本表中所列出的缺陷和问题，只是本次发现，不代表企业缺陷和问题的全部。建立与本企业生产产品特点相适应的质量管理体系并保持其有效运行，是医疗器械生产企业的法定责任。</w:t>
            </w:r>
          </w:p>
          <w:p>
            <w:pPr>
              <w:jc w:val="center"/>
              <w:rPr>
                <w:rFonts w:asci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56" w:type="dxa"/>
            <w:vMerge w:val="restart"/>
            <w:vAlign w:val="center"/>
          </w:tcPr>
          <w:p>
            <w:pPr>
              <w:spacing w:line="400" w:lineRule="exact"/>
              <w:ind w:left="17" w:leftChars="-65" w:right="-128" w:rightChars="-61" w:hanging="153" w:hangingChars="64"/>
              <w:jc w:val="center"/>
              <w:rPr>
                <w:rFonts w:ascii="仿宋" w:eastAsia="仿宋" w:cs="Times New Roman"/>
                <w:sz w:val="24"/>
                <w:szCs w:val="24"/>
              </w:rPr>
            </w:pPr>
          </w:p>
        </w:tc>
        <w:tc>
          <w:tcPr>
            <w:tcW w:w="1995" w:type="dxa"/>
            <w:gridSpan w:val="3"/>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依据条款</w:t>
            </w:r>
          </w:p>
        </w:tc>
        <w:tc>
          <w:tcPr>
            <w:tcW w:w="5971" w:type="dxa"/>
            <w:gridSpan w:val="5"/>
            <w:vMerge w:val="restart"/>
            <w:vAlign w:val="center"/>
          </w:tcPr>
          <w:p>
            <w:pPr>
              <w:spacing w:line="520" w:lineRule="exact"/>
              <w:jc w:val="center"/>
              <w:rPr>
                <w:rFonts w:ascii="仿宋" w:eastAsia="仿宋" w:cs="Times New Roman"/>
                <w:sz w:val="24"/>
                <w:szCs w:val="24"/>
              </w:rPr>
            </w:pPr>
            <w:r>
              <w:rPr>
                <w:rFonts w:hint="eastAsia" w:ascii="仿宋" w:eastAsia="仿宋" w:cs="仿宋"/>
                <w:sz w:val="24"/>
                <w:szCs w:val="24"/>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556" w:type="dxa"/>
            <w:vMerge w:val="continue"/>
            <w:vAlign w:val="center"/>
          </w:tcPr>
          <w:p>
            <w:pPr>
              <w:rPr>
                <w:rFonts w:cs="Times New Roman"/>
              </w:rPr>
            </w:pPr>
          </w:p>
        </w:tc>
        <w:tc>
          <w:tcPr>
            <w:tcW w:w="1022" w:type="dxa"/>
            <w:gridSpan w:val="2"/>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规范</w:t>
            </w:r>
          </w:p>
        </w:tc>
        <w:tc>
          <w:tcPr>
            <w:tcW w:w="973" w:type="dxa"/>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指导原则</w:t>
            </w:r>
          </w:p>
        </w:tc>
        <w:tc>
          <w:tcPr>
            <w:tcW w:w="5971" w:type="dxa"/>
            <w:gridSpan w:val="5"/>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571" w:type="dxa"/>
            <w:gridSpan w:val="2"/>
            <w:vAlign w:val="center"/>
          </w:tcPr>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关</w:t>
            </w:r>
          </w:p>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键</w:t>
            </w:r>
          </w:p>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项</w:t>
            </w:r>
          </w:p>
          <w:p>
            <w:pPr>
              <w:spacing w:line="400" w:lineRule="exact"/>
              <w:ind w:left="18" w:leftChars="-65" w:right="-128" w:rightChars="-61" w:hanging="154" w:hangingChars="64"/>
              <w:jc w:val="center"/>
              <w:rPr>
                <w:rFonts w:ascii="仿宋" w:eastAsia="仿宋" w:cs="Times New Roman"/>
                <w:sz w:val="24"/>
                <w:szCs w:val="24"/>
              </w:rPr>
            </w:pPr>
            <w:r>
              <w:rPr>
                <w:rFonts w:hint="eastAsia" w:ascii="仿宋" w:eastAsia="仿宋" w:cs="仿宋"/>
                <w:b/>
                <w:bCs/>
                <w:sz w:val="24"/>
                <w:szCs w:val="24"/>
              </w:rPr>
              <w:t>目</w:t>
            </w:r>
          </w:p>
        </w:tc>
        <w:tc>
          <w:tcPr>
            <w:tcW w:w="1007" w:type="dxa"/>
            <w:vAlign w:val="center"/>
          </w:tcPr>
          <w:p>
            <w:pPr>
              <w:spacing w:line="400" w:lineRule="exact"/>
              <w:ind w:right="-128" w:rightChars="-61"/>
              <w:jc w:val="center"/>
              <w:rPr>
                <w:rFonts w:ascii="仿宋" w:eastAsia="仿宋" w:cs="Times New Roman"/>
                <w:sz w:val="24"/>
                <w:szCs w:val="24"/>
              </w:rPr>
            </w:pPr>
          </w:p>
        </w:tc>
        <w:tc>
          <w:tcPr>
            <w:tcW w:w="973" w:type="dxa"/>
            <w:vAlign w:val="center"/>
          </w:tcPr>
          <w:p>
            <w:pPr>
              <w:spacing w:line="400" w:lineRule="exact"/>
              <w:ind w:right="-128" w:rightChars="-61"/>
              <w:jc w:val="center"/>
              <w:rPr>
                <w:rFonts w:ascii="仿宋" w:eastAsia="仿宋" w:cs="Times New Roman"/>
                <w:sz w:val="24"/>
                <w:szCs w:val="24"/>
              </w:rPr>
            </w:pPr>
          </w:p>
        </w:tc>
        <w:tc>
          <w:tcPr>
            <w:tcW w:w="5971" w:type="dxa"/>
            <w:gridSpan w:val="5"/>
            <w:vAlign w:val="center"/>
          </w:tcPr>
          <w:p>
            <w:pPr>
              <w:jc w:val="center"/>
              <w:rPr>
                <w:rFonts w:asci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71" w:type="dxa"/>
            <w:gridSpan w:val="2"/>
            <w:vMerge w:val="restart"/>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一</w:t>
            </w:r>
          </w:p>
          <w:p>
            <w:pPr>
              <w:jc w:val="center"/>
              <w:rPr>
                <w:rFonts w:hint="eastAsia" w:ascii="仿宋" w:hAnsi="仿宋" w:eastAsia="仿宋" w:cs="仿宋"/>
                <w:b/>
                <w:bCs/>
                <w:sz w:val="24"/>
                <w:szCs w:val="24"/>
              </w:rPr>
            </w:pPr>
            <w:r>
              <w:rPr>
                <w:rFonts w:hint="eastAsia" w:ascii="仿宋" w:hAnsi="仿宋" w:eastAsia="仿宋" w:cs="仿宋"/>
                <w:b/>
                <w:bCs/>
                <w:sz w:val="24"/>
                <w:szCs w:val="24"/>
              </w:rPr>
              <w:t>般</w:t>
            </w:r>
          </w:p>
          <w:p>
            <w:pPr>
              <w:jc w:val="center"/>
              <w:rPr>
                <w:rFonts w:hint="eastAsia" w:ascii="仿宋" w:hAnsi="仿宋" w:eastAsia="仿宋" w:cs="仿宋"/>
                <w:sz w:val="24"/>
                <w:szCs w:val="24"/>
              </w:rPr>
            </w:pPr>
            <w:r>
              <w:rPr>
                <w:rFonts w:hint="eastAsia" w:ascii="仿宋" w:hAnsi="仿宋" w:eastAsia="仿宋" w:cs="仿宋"/>
                <w:b/>
                <w:bCs/>
                <w:sz w:val="24"/>
                <w:szCs w:val="24"/>
              </w:rPr>
              <w:t>项目</w:t>
            </w: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附录2.1.1</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1.7.1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查看2018年4月17日企业开展的关于卫生和微生物学基础知识、洁净作业方面的培训记录，未记录具体培训内容和讲课老师。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附录2.1.2</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1.8.2</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企业十万级洁净区男二更内未张贴穿衣指导挂图，现场企业人员穿衣流程随意。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第十一条附录2.1.3</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1.9.1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企业只收集了员工的健康证，未建立人员健康档案。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第十七条</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2.6.1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企业二楼十万级洁净区内未设置防爆柜用于暂存易燃易爆的环已酮物料。一楼十万级洁净区原材料接收间未设置货架或栈板用于暂存物料。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附录2.2.2</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2.9.2</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未设置压差计对二楼十万级洁净区男一更（非洁净区）和男二更（洁净区）之间的压差进行日常监控，把压差计设于测定男一更（非洁净区）与更鞋间（非洁净区）的压差。一楼十万级洁净区男一更压差计不能归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第二十条</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3.2.2</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企业二楼打码间存放的一台已停用的快速脚踏封口机无停用状态标识。二楼十万级洁净区内的气密检漏仪动态标识为待用，实际状态为运行中；动态标识只有待用和运行两种，无停用和维修状态标识。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第二十三条</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3.5.1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一楼洁净区挤出设备配套的压力表、微生物限度间的双人单面净化工作台和微生物限度检测仪、阳性对照间生物安全柜已过检定有效期。环氧乙烷灭菌柜箱体安全阀、压力传感器、温湿度传感器未进行检定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附录2.3.4</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3.9.1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二楼洁净区洗衣间的洗衣机入水管道、出水管道太长，留有死水，易滋生细菌产生污染，企业未制订措施进行防控。一楼洁净区挤出设备配套的冷却水管道为PVC材质，企业未对该材质水管用于输送纯化水的适用性进行验证。企业制水系统原水桶使用塑料材质，内滋生大量青苔，企业未采取措施进行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附录2.5.3</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6.8.2</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企业使用LPPE材料的内包材用于封装管件中间品，未制订该内包材的初始污染菌和微粒污染可接受水平并形成文件。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附录2.6.1</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7.12.1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环氧乙烷灭菌车间内未安装可燃气体泄漏报警装置，未给操作员配备防护服、手套、防毒面具。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附录2.6.4</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7.15.1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企业一楼洁净区挤出设备配套的模具生锈，存在污染风险。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附录2.6.5</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7.16.1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企业二楼物料传递间的物料未经过除微粒净化流程即传入十万级生产区。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附录2.7.4</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8.10.1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企业未根据产品质量要求确定产品的初始污染菌的控制水平并形成文件，未明确中间品的存放时间。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Merge w:val="restart"/>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附录2.7.5</w:t>
            </w: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8.11.1</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查看企业文件《留样管理制度》(SMP-QQ-001)规定正常生产不同规格每年留三批做留校观察，未对每一生产批或灭菌批的成品进行留样观察。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71" w:type="dxa"/>
            <w:gridSpan w:val="2"/>
            <w:vMerge w:val="continue"/>
            <w:vAlign w:val="center"/>
          </w:tcPr>
          <w:p>
            <w:pPr>
              <w:rPr>
                <w:rFonts w:hint="eastAsia" w:ascii="仿宋" w:hAnsi="仿宋" w:eastAsia="仿宋" w:cs="仿宋"/>
                <w:sz w:val="24"/>
                <w:szCs w:val="24"/>
              </w:rPr>
            </w:pPr>
          </w:p>
        </w:tc>
        <w:tc>
          <w:tcPr>
            <w:tcW w:w="1007" w:type="dxa"/>
            <w:vMerge w:val="continue"/>
            <w:vAlign w:val="center"/>
          </w:tcPr>
          <w:p>
            <w:pPr>
              <w:rPr>
                <w:rFonts w:hint="eastAsia" w:ascii="仿宋" w:hAnsi="仿宋" w:eastAsia="仿宋" w:cs="仿宋"/>
                <w:sz w:val="24"/>
                <w:szCs w:val="24"/>
              </w:rPr>
            </w:pPr>
          </w:p>
        </w:tc>
        <w:tc>
          <w:tcPr>
            <w:tcW w:w="9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8.11.2</w:t>
            </w:r>
          </w:p>
        </w:tc>
        <w:tc>
          <w:tcPr>
            <w:tcW w:w="5971"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查看企业文件《留样管理制度》(SMP-QQ-001)规定按0、12、24、36、48个月检验周期全检观察，而实际企业的留样观察检验项目只有产品外观和纸塑袋外观检查。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522" w:type="dxa"/>
            <w:gridSpan w:val="9"/>
            <w:vAlign w:val="center"/>
          </w:tcPr>
          <w:p>
            <w:pPr>
              <w:spacing w:line="520" w:lineRule="exact"/>
              <w:jc w:val="center"/>
              <w:rPr>
                <w:rFonts w:hint="eastAsia" w:ascii="仿宋" w:hAnsi="仿宋" w:eastAsia="仿宋" w:cs="仿宋"/>
                <w:sz w:val="24"/>
                <w:szCs w:val="24"/>
              </w:rPr>
            </w:pPr>
            <w:bookmarkStart w:id="0" w:name="_GoBack" w:colFirst="0" w:colLast="3"/>
            <w:r>
              <w:rPr>
                <w:rFonts w:hint="eastAsia" w:ascii="仿宋" w:hAnsi="仿宋" w:eastAsia="仿宋" w:cs="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针对该公司检查中发现的问题，福州市市场监督管理局应责令企业限期整改，必要时跟踪复查，并要求企业评估产品安全风险，对有可能导致安全隐患的，应按照《医疗器械召回管理办法》的规定召回相关产品。企业完成整改后，福州市市场监督管理局应将相关情况及时报送省局医疗器械处。</w:t>
            </w:r>
          </w:p>
        </w:tc>
      </w:tr>
      <w:bookmarkEnd w:id="0"/>
    </w:tbl>
    <w:p>
      <w:pPr>
        <w:widowControl/>
        <w:spacing w:before="100" w:beforeAutospacing="1" w:after="100" w:afterAutospacing="1" w:line="280" w:lineRule="exact"/>
        <w:jc w:val="left"/>
        <w:rPr>
          <w:rFonts w:hint="eastAsia" w:ascii="仿宋" w:hAnsi="仿宋" w:eastAsia="仿宋" w:cs="仿宋"/>
          <w:sz w:val="24"/>
          <w:szCs w:val="24"/>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widowControl/>
        <w:spacing w:before="100" w:beforeAutospacing="1" w:after="100" w:afterAutospacing="1" w:line="280" w:lineRule="exact"/>
        <w:jc w:val="left"/>
        <w:rPr>
          <w:rFonts w:ascii="仿宋_GB2312" w:eastAsia="仿宋_GB2312" w:cs="Times New Roman"/>
          <w:sz w:val="28"/>
          <w:szCs w:val="28"/>
        </w:rPr>
      </w:pPr>
    </w:p>
    <w:p>
      <w:pPr>
        <w:rPr>
          <w:rFonts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FED"/>
    <w:rsid w:val="004420F8"/>
    <w:rsid w:val="004817FB"/>
    <w:rsid w:val="00954FED"/>
    <w:rsid w:val="00A723A1"/>
    <w:rsid w:val="00BB3657"/>
    <w:rsid w:val="00CF0858"/>
    <w:rsid w:val="3E0B4CB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uiPriority w:val="99"/>
    <w:rPr>
      <w:rFonts w:ascii="Calibri" w:hAnsi="Calibri" w:cs="Calibri"/>
      <w:sz w:val="18"/>
      <w:szCs w:val="18"/>
    </w:rPr>
  </w:style>
  <w:style w:type="character" w:customStyle="1" w:styleId="7">
    <w:name w:val="Header Char"/>
    <w:basedOn w:val="4"/>
    <w:link w:val="3"/>
    <w:semiHidden/>
    <w:uiPriority w:val="99"/>
    <w:rPr>
      <w:rFonts w:ascii="Calibri" w:hAnsi="Calibri" w:cs="Calibri"/>
      <w:sz w:val="18"/>
      <w:szCs w:val="18"/>
    </w:rPr>
  </w:style>
  <w:style w:type="paragraph" w:customStyle="1" w:styleId="8">
    <w:name w:val="List Paragraph1"/>
    <w:basedOn w:val="1"/>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497</Words>
  <Characters>2835</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2018-06-25T08:38:31Z</cp:lastPrinted>
  <dcterms:modified xsi:type="dcterms:W3CDTF">2018-06-25T08:46:23Z</dcterms:modified>
  <dc:title>医疗器械现场监督检查工作规程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