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对福建省洪诚生物药业有限公司双随机检查通报</w:t>
      </w:r>
    </w:p>
    <w:tbl>
      <w:tblPr>
        <w:tblStyle w:val="5"/>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760"/>
        <w:gridCol w:w="980"/>
        <w:gridCol w:w="1890"/>
        <w:gridCol w:w="885"/>
        <w:gridCol w:w="545"/>
        <w:gridCol w:w="177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企业名称</w:t>
            </w:r>
          </w:p>
        </w:tc>
        <w:tc>
          <w:tcPr>
            <w:tcW w:w="3320" w:type="dxa"/>
            <w:gridSpan w:val="3"/>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福建省洪诚生物药业有限公司</w:t>
            </w:r>
          </w:p>
        </w:tc>
        <w:tc>
          <w:tcPr>
            <w:tcW w:w="1770" w:type="dxa"/>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法定代表人</w:t>
            </w:r>
          </w:p>
        </w:tc>
        <w:tc>
          <w:tcPr>
            <w:tcW w:w="1390" w:type="dxa"/>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蔡元洪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311" w:type="dxa"/>
            <w:gridSpan w:val="4"/>
            <w:vAlign w:val="center"/>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企业负责人</w:t>
            </w:r>
          </w:p>
        </w:tc>
        <w:tc>
          <w:tcPr>
            <w:tcW w:w="1890" w:type="dxa"/>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蔡元洪</w:t>
            </w:r>
          </w:p>
        </w:tc>
        <w:tc>
          <w:tcPr>
            <w:tcW w:w="885" w:type="dxa"/>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电话</w:t>
            </w:r>
          </w:p>
        </w:tc>
        <w:tc>
          <w:tcPr>
            <w:tcW w:w="3705" w:type="dxa"/>
            <w:gridSpan w:val="3"/>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4"/>
            <w:vAlign w:val="center"/>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管理者代表</w:t>
            </w:r>
          </w:p>
        </w:tc>
        <w:tc>
          <w:tcPr>
            <w:tcW w:w="1890" w:type="dxa"/>
          </w:tcPr>
          <w:p>
            <w:pPr>
              <w:spacing w:line="480" w:lineRule="exact"/>
              <w:jc w:val="center"/>
              <w:rPr>
                <w:rFonts w:ascii="华文仿宋" w:hAnsi="华文仿宋" w:eastAsia="华文仿宋"/>
                <w:sz w:val="28"/>
                <w:szCs w:val="28"/>
              </w:rPr>
            </w:pPr>
            <w:r>
              <w:rPr>
                <w:rFonts w:ascii="华文仿宋" w:hAnsi="华文仿宋" w:eastAsia="华文仿宋"/>
                <w:sz w:val="28"/>
                <w:szCs w:val="28"/>
              </w:rPr>
              <w:t>薛正翔</w:t>
            </w:r>
          </w:p>
        </w:tc>
        <w:tc>
          <w:tcPr>
            <w:tcW w:w="885" w:type="dxa"/>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电话</w:t>
            </w:r>
          </w:p>
        </w:tc>
        <w:tc>
          <w:tcPr>
            <w:tcW w:w="3705" w:type="dxa"/>
            <w:gridSpan w:val="3"/>
          </w:tcPr>
          <w:p>
            <w:pPr>
              <w:spacing w:line="480" w:lineRule="exact"/>
              <w:jc w:val="center"/>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注册地址</w:t>
            </w:r>
          </w:p>
        </w:tc>
        <w:tc>
          <w:tcPr>
            <w:tcW w:w="6480" w:type="dxa"/>
            <w:gridSpan w:val="5"/>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莆田市枫亭工业园区规划路2号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生产地址</w:t>
            </w:r>
          </w:p>
        </w:tc>
        <w:tc>
          <w:tcPr>
            <w:tcW w:w="6480" w:type="dxa"/>
            <w:gridSpan w:val="5"/>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莆田市枫亭工业园区规划路2号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检查日期</w:t>
            </w:r>
          </w:p>
        </w:tc>
        <w:tc>
          <w:tcPr>
            <w:tcW w:w="6480" w:type="dxa"/>
            <w:gridSpan w:val="5"/>
          </w:tcPr>
          <w:p>
            <w:pPr>
              <w:spacing w:line="480" w:lineRule="exact"/>
              <w:rPr>
                <w:rFonts w:ascii="华文仿宋" w:hAnsi="华文仿宋" w:eastAsia="华文仿宋"/>
                <w:szCs w:val="24"/>
              </w:rPr>
            </w:pPr>
            <w:r>
              <w:rPr>
                <w:rFonts w:hint="eastAsia" w:ascii="华文仿宋" w:hAnsi="华文仿宋" w:eastAsia="华文仿宋"/>
                <w:sz w:val="28"/>
                <w:szCs w:val="28"/>
              </w:rPr>
              <w:t>2018年6月7日至6月8日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产品类别</w:t>
            </w:r>
          </w:p>
        </w:tc>
        <w:tc>
          <w:tcPr>
            <w:tcW w:w="6480" w:type="dxa"/>
            <w:gridSpan w:val="5"/>
          </w:tcPr>
          <w:p>
            <w:pPr>
              <w:spacing w:line="480" w:lineRule="exact"/>
              <w:rPr>
                <w:rFonts w:ascii="华文仿宋" w:hAnsi="华文仿宋" w:eastAsia="华文仿宋"/>
                <w:szCs w:val="24"/>
              </w:rPr>
            </w:pPr>
            <w:r>
              <w:rPr>
                <w:rFonts w:hint="eastAsia" w:ascii="华文仿宋" w:hAnsi="华文仿宋" w:eastAsia="华文仿宋"/>
                <w:bCs/>
                <w:sz w:val="28"/>
                <w:szCs w:val="28"/>
              </w:rPr>
              <w:t xml:space="preserve">□无菌医疗器械  □植入性医疗器械 </w:t>
            </w:r>
            <w:r>
              <w:rPr>
                <w:rFonts w:hint="eastAsia" w:ascii="仿宋_GB2312" w:hAnsi="仿宋_GB2312" w:eastAsia="仿宋_GB2312" w:cs="仿宋_GB2312"/>
                <w:sz w:val="24"/>
                <w:szCs w:val="24"/>
              </w:rPr>
              <w:t>√</w:t>
            </w:r>
            <w:r>
              <w:rPr>
                <w:rFonts w:hint="eastAsia" w:ascii="华文仿宋" w:hAnsi="华文仿宋" w:eastAsia="华文仿宋"/>
                <w:bCs/>
                <w:sz w:val="28"/>
                <w:szCs w:val="28"/>
              </w:rPr>
              <w:t xml:space="preserve">体外诊断试剂   □定制式义齿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311" w:type="dxa"/>
            <w:gridSpan w:val="4"/>
            <w:vAlign w:val="center"/>
          </w:tcPr>
          <w:p>
            <w:pPr>
              <w:spacing w:line="480" w:lineRule="exact"/>
              <w:jc w:val="center"/>
              <w:rPr>
                <w:rFonts w:ascii="华文仿宋" w:hAnsi="华文仿宋" w:eastAsia="华文仿宋"/>
                <w:sz w:val="28"/>
                <w:szCs w:val="28"/>
              </w:rPr>
            </w:pPr>
            <w:r>
              <w:rPr>
                <w:rFonts w:hint="eastAsia" w:ascii="华文仿宋" w:hAnsi="华文仿宋" w:eastAsia="华文仿宋"/>
                <w:sz w:val="28"/>
                <w:szCs w:val="28"/>
              </w:rPr>
              <w:t>抽查产品</w:t>
            </w:r>
          </w:p>
          <w:p>
            <w:pPr>
              <w:spacing w:line="480" w:lineRule="exact"/>
              <w:jc w:val="center"/>
              <w:rPr>
                <w:rFonts w:ascii="华文仿宋" w:hAnsi="华文仿宋" w:eastAsia="华文仿宋"/>
                <w:szCs w:val="24"/>
              </w:rPr>
            </w:pPr>
            <w:r>
              <w:rPr>
                <w:rFonts w:hint="eastAsia" w:ascii="华文仿宋" w:hAnsi="华文仿宋" w:eastAsia="华文仿宋"/>
                <w:sz w:val="28"/>
                <w:szCs w:val="28"/>
              </w:rPr>
              <w:t>名称</w:t>
            </w:r>
          </w:p>
        </w:tc>
        <w:tc>
          <w:tcPr>
            <w:tcW w:w="6480" w:type="dxa"/>
            <w:gridSpan w:val="5"/>
          </w:tcPr>
          <w:p>
            <w:pPr>
              <w:spacing w:line="480" w:lineRule="exact"/>
              <w:rPr>
                <w:rFonts w:ascii="华文仿宋" w:hAnsi="华文仿宋" w:eastAsia="华文仿宋"/>
                <w:szCs w:val="24"/>
              </w:rPr>
            </w:pPr>
            <w:r>
              <w:rPr>
                <w:rFonts w:hint="eastAsia" w:ascii="华文仿宋" w:hAnsi="华文仿宋" w:eastAsia="华文仿宋"/>
                <w:sz w:val="28"/>
                <w:szCs w:val="28"/>
              </w:rPr>
              <w:t>乙型肝炎病毒表面抗原检测试剂盒（化学发光法）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检查目的和范围</w:t>
            </w:r>
          </w:p>
        </w:tc>
        <w:tc>
          <w:tcPr>
            <w:tcW w:w="6480" w:type="dxa"/>
            <w:gridSpan w:val="5"/>
          </w:tcPr>
          <w:p>
            <w:pPr>
              <w:spacing w:line="480" w:lineRule="exact"/>
              <w:rPr>
                <w:rFonts w:ascii="华文仿宋" w:hAnsi="华文仿宋" w:eastAsia="华文仿宋"/>
                <w:szCs w:val="24"/>
              </w:rPr>
            </w:pPr>
            <w:r>
              <w:rPr>
                <w:rFonts w:hint="eastAsia" w:ascii="华文仿宋" w:hAnsi="华文仿宋" w:eastAsia="华文仿宋"/>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检查依据</w:t>
            </w:r>
          </w:p>
        </w:tc>
        <w:tc>
          <w:tcPr>
            <w:tcW w:w="6480" w:type="dxa"/>
            <w:gridSpan w:val="5"/>
          </w:tcPr>
          <w:p>
            <w:pPr>
              <w:spacing w:line="480" w:lineRule="exact"/>
              <w:rPr>
                <w:rFonts w:ascii="华文仿宋" w:hAnsi="华文仿宋" w:eastAsia="华文仿宋"/>
                <w:sz w:val="28"/>
                <w:szCs w:val="28"/>
              </w:rPr>
            </w:pPr>
            <w:r>
              <w:rPr>
                <w:rFonts w:hint="eastAsia" w:ascii="仿宋_GB2312" w:hAnsi="仿宋_GB2312" w:eastAsia="仿宋_GB2312" w:cs="仿宋_GB2312"/>
                <w:sz w:val="24"/>
                <w:szCs w:val="24"/>
              </w:rPr>
              <w:t>√</w:t>
            </w:r>
            <w:r>
              <w:rPr>
                <w:rFonts w:hint="eastAsia" w:ascii="华文仿宋" w:hAnsi="华文仿宋" w:eastAsia="华文仿宋"/>
                <w:sz w:val="28"/>
                <w:szCs w:val="28"/>
              </w:rPr>
              <w:t>医疗器械生产质量管理规范（GMP）</w:t>
            </w:r>
          </w:p>
          <w:p>
            <w:pPr>
              <w:spacing w:line="480" w:lineRule="exact"/>
              <w:rPr>
                <w:rFonts w:ascii="华文仿宋" w:hAnsi="华文仿宋" w:eastAsia="华文仿宋"/>
                <w:sz w:val="28"/>
                <w:szCs w:val="28"/>
              </w:rPr>
            </w:pPr>
            <w:r>
              <w:rPr>
                <w:rFonts w:hint="eastAsia" w:ascii="华文仿宋" w:hAnsi="华文仿宋" w:eastAsia="华文仿宋"/>
                <w:sz w:val="28"/>
                <w:szCs w:val="28"/>
              </w:rPr>
              <w:t>□医疗器械GMP附录及指导原则无菌医疗器械部分</w:t>
            </w:r>
          </w:p>
          <w:p>
            <w:pPr>
              <w:spacing w:line="480" w:lineRule="exact"/>
              <w:rPr>
                <w:rFonts w:ascii="华文仿宋" w:hAnsi="华文仿宋" w:eastAsia="华文仿宋"/>
                <w:sz w:val="28"/>
                <w:szCs w:val="28"/>
              </w:rPr>
            </w:pPr>
            <w:r>
              <w:rPr>
                <w:rFonts w:hint="eastAsia" w:ascii="华文仿宋" w:hAnsi="华文仿宋" w:eastAsia="华文仿宋"/>
                <w:sz w:val="28"/>
                <w:szCs w:val="28"/>
              </w:rPr>
              <w:t>□医疗器械GMP附录及指导原则植入性医疗器械部分</w:t>
            </w:r>
          </w:p>
          <w:p>
            <w:pPr>
              <w:spacing w:line="480" w:lineRule="exact"/>
              <w:rPr>
                <w:rFonts w:ascii="华文仿宋" w:hAnsi="华文仿宋" w:eastAsia="华文仿宋"/>
                <w:sz w:val="28"/>
                <w:szCs w:val="28"/>
              </w:rPr>
            </w:pPr>
            <w:r>
              <w:rPr>
                <w:rFonts w:hint="eastAsia" w:ascii="仿宋_GB2312" w:hAnsi="仿宋_GB2312" w:eastAsia="仿宋_GB2312" w:cs="仿宋_GB2312"/>
                <w:sz w:val="24"/>
                <w:szCs w:val="24"/>
              </w:rPr>
              <w:t>√</w:t>
            </w:r>
            <w:r>
              <w:rPr>
                <w:rFonts w:hint="eastAsia" w:ascii="华文仿宋" w:hAnsi="华文仿宋" w:eastAsia="华文仿宋"/>
                <w:sz w:val="28"/>
                <w:szCs w:val="28"/>
              </w:rPr>
              <w:t>医疗器械GMP附录及指导原则体外诊断试剂部分</w:t>
            </w:r>
          </w:p>
          <w:p>
            <w:pPr>
              <w:spacing w:line="480" w:lineRule="exact"/>
              <w:rPr>
                <w:rFonts w:ascii="华文仿宋" w:hAnsi="华文仿宋" w:eastAsia="华文仿宋"/>
                <w:szCs w:val="24"/>
              </w:rPr>
            </w:pPr>
            <w:r>
              <w:rPr>
                <w:rFonts w:hint="eastAsia" w:ascii="华文仿宋" w:hAnsi="华文仿宋" w:eastAsia="华文仿宋"/>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4"/>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声   明</w:t>
            </w:r>
          </w:p>
        </w:tc>
        <w:tc>
          <w:tcPr>
            <w:tcW w:w="6480" w:type="dxa"/>
            <w:gridSpan w:val="5"/>
          </w:tcPr>
          <w:p>
            <w:pPr>
              <w:snapToGrid w:val="0"/>
              <w:spacing w:line="480" w:lineRule="exact"/>
              <w:jc w:val="center"/>
              <w:rPr>
                <w:rFonts w:ascii="华文仿宋" w:hAnsi="华文仿宋" w:eastAsia="华文仿宋"/>
                <w:sz w:val="28"/>
                <w:szCs w:val="28"/>
              </w:rPr>
            </w:pPr>
            <w:r>
              <w:rPr>
                <w:rFonts w:hint="eastAsia" w:ascii="华文仿宋" w:hAnsi="华文仿宋" w:eastAsia="华文仿宋"/>
                <w:sz w:val="28"/>
                <w:szCs w:val="28"/>
              </w:rPr>
              <w:t>主要缺陷和问题及其判定依据</w:t>
            </w:r>
          </w:p>
          <w:p>
            <w:pPr>
              <w:spacing w:line="480" w:lineRule="exact"/>
              <w:rPr>
                <w:rFonts w:ascii="华文仿宋" w:hAnsi="华文仿宋" w:eastAsia="华文仿宋"/>
                <w:szCs w:val="24"/>
              </w:rPr>
            </w:pPr>
            <w:r>
              <w:rPr>
                <w:rFonts w:hint="eastAsia" w:ascii="华文仿宋" w:hAnsi="华文仿宋" w:eastAsia="华文仿宋"/>
                <w:sz w:val="28"/>
                <w:szCs w:val="28"/>
              </w:rPr>
              <w:t>本表中所列出的缺陷和问题，只是本次发现，不代表企业缺陷和问题的全部。建立与本企业生产产品特点相适应的质量管理体系并保持其有效运行，是医疗器械生产企业的法定责任。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80" w:lineRule="exact"/>
              <w:ind w:left="-2" w:leftChars="-65" w:right="-128" w:rightChars="-61" w:hanging="134" w:hangingChars="64"/>
              <w:jc w:val="center"/>
              <w:rPr>
                <w:rFonts w:ascii="华文仿宋" w:hAnsi="华文仿宋" w:eastAsia="华文仿宋"/>
                <w:szCs w:val="24"/>
              </w:rPr>
            </w:pPr>
          </w:p>
        </w:tc>
        <w:tc>
          <w:tcPr>
            <w:tcW w:w="1755" w:type="dxa"/>
            <w:gridSpan w:val="3"/>
            <w:vAlign w:val="center"/>
          </w:tcPr>
          <w:p>
            <w:pPr>
              <w:spacing w:line="480" w:lineRule="exact"/>
              <w:ind w:left="43" w:leftChars="-65" w:right="-128" w:rightChars="-61" w:hanging="179" w:hangingChars="64"/>
              <w:jc w:val="center"/>
              <w:rPr>
                <w:rFonts w:ascii="华文仿宋" w:hAnsi="华文仿宋" w:eastAsia="华文仿宋"/>
                <w:sz w:val="28"/>
                <w:szCs w:val="28"/>
              </w:rPr>
            </w:pPr>
            <w:r>
              <w:rPr>
                <w:rFonts w:hint="eastAsia" w:ascii="华文仿宋" w:hAnsi="华文仿宋" w:eastAsia="华文仿宋"/>
                <w:sz w:val="28"/>
                <w:szCs w:val="28"/>
              </w:rPr>
              <w:t>依据条款</w:t>
            </w:r>
          </w:p>
        </w:tc>
        <w:tc>
          <w:tcPr>
            <w:tcW w:w="6480" w:type="dxa"/>
            <w:gridSpan w:val="5"/>
            <w:vMerge w:val="restart"/>
            <w:vAlign w:val="center"/>
          </w:tcPr>
          <w:p>
            <w:pPr>
              <w:spacing w:line="480" w:lineRule="exact"/>
              <w:jc w:val="center"/>
              <w:rPr>
                <w:rFonts w:ascii="华文仿宋" w:hAnsi="华文仿宋" w:eastAsia="华文仿宋"/>
                <w:szCs w:val="24"/>
              </w:rPr>
            </w:pPr>
            <w:r>
              <w:rPr>
                <w:rFonts w:hint="eastAsia" w:ascii="华文仿宋" w:hAnsi="华文仿宋" w:eastAsia="华文仿宋"/>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80" w:lineRule="exact"/>
              <w:ind w:left="43" w:leftChars="-65" w:right="-128" w:rightChars="-61" w:hanging="179" w:hangingChars="64"/>
              <w:jc w:val="center"/>
              <w:rPr>
                <w:rFonts w:ascii="华文仿宋" w:hAnsi="华文仿宋" w:eastAsia="华文仿宋"/>
                <w:sz w:val="28"/>
                <w:szCs w:val="28"/>
              </w:rPr>
            </w:pPr>
          </w:p>
        </w:tc>
        <w:tc>
          <w:tcPr>
            <w:tcW w:w="775" w:type="dxa"/>
            <w:gridSpan w:val="2"/>
            <w:vAlign w:val="center"/>
          </w:tcPr>
          <w:p>
            <w:pPr>
              <w:spacing w:line="480" w:lineRule="exact"/>
              <w:ind w:left="43" w:leftChars="-65" w:right="-128" w:rightChars="-61" w:hanging="179" w:hangingChars="64"/>
              <w:jc w:val="center"/>
              <w:rPr>
                <w:rFonts w:ascii="华文仿宋" w:hAnsi="华文仿宋" w:eastAsia="华文仿宋"/>
                <w:sz w:val="28"/>
                <w:szCs w:val="28"/>
              </w:rPr>
            </w:pPr>
            <w:r>
              <w:rPr>
                <w:rFonts w:hint="eastAsia" w:ascii="华文仿宋" w:hAnsi="华文仿宋" w:eastAsia="华文仿宋"/>
                <w:sz w:val="28"/>
                <w:szCs w:val="28"/>
              </w:rPr>
              <w:t>指导原则</w:t>
            </w:r>
          </w:p>
        </w:tc>
        <w:tc>
          <w:tcPr>
            <w:tcW w:w="980" w:type="dxa"/>
            <w:vAlign w:val="center"/>
          </w:tcPr>
          <w:p>
            <w:pPr>
              <w:spacing w:line="480" w:lineRule="exact"/>
              <w:ind w:left="43" w:leftChars="-65" w:right="-128" w:rightChars="-61" w:hanging="179" w:hangingChars="64"/>
              <w:jc w:val="center"/>
              <w:rPr>
                <w:rFonts w:ascii="华文仿宋" w:hAnsi="华文仿宋" w:eastAsia="华文仿宋"/>
                <w:sz w:val="28"/>
                <w:szCs w:val="28"/>
              </w:rPr>
            </w:pPr>
            <w:r>
              <w:rPr>
                <w:rFonts w:hint="eastAsia" w:ascii="华文仿宋" w:hAnsi="华文仿宋" w:eastAsia="华文仿宋"/>
                <w:sz w:val="28"/>
                <w:szCs w:val="28"/>
              </w:rPr>
              <w:t>规范</w:t>
            </w:r>
          </w:p>
        </w:tc>
        <w:tc>
          <w:tcPr>
            <w:tcW w:w="6480" w:type="dxa"/>
            <w:gridSpan w:val="5"/>
            <w:vMerge w:val="continue"/>
            <w:vAlign w:val="center"/>
          </w:tcPr>
          <w:p>
            <w:pPr>
              <w:spacing w:line="48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Align w:val="center"/>
          </w:tcPr>
          <w:p>
            <w:pPr>
              <w:spacing w:line="480" w:lineRule="exact"/>
              <w:ind w:left="43" w:leftChars="-65" w:right="-128" w:rightChars="-61" w:hanging="179" w:hangingChars="64"/>
              <w:jc w:val="center"/>
              <w:rPr>
                <w:rFonts w:hint="eastAsia" w:ascii="华文仿宋" w:hAnsi="华文仿宋" w:eastAsia="华文仿宋"/>
                <w:sz w:val="28"/>
                <w:szCs w:val="28"/>
              </w:rPr>
            </w:pPr>
            <w:r>
              <w:rPr>
                <w:rFonts w:ascii="华文仿宋" w:hAnsi="华文仿宋" w:eastAsia="华文仿宋"/>
                <w:sz w:val="28"/>
                <w:szCs w:val="28"/>
              </w:rPr>
              <w:t>关</w:t>
            </w:r>
          </w:p>
          <w:p>
            <w:pPr>
              <w:spacing w:line="480" w:lineRule="exact"/>
              <w:ind w:left="43" w:leftChars="-65" w:right="-128" w:rightChars="-61" w:hanging="179" w:hangingChars="64"/>
              <w:jc w:val="center"/>
              <w:rPr>
                <w:rFonts w:hint="eastAsia" w:ascii="华文仿宋" w:hAnsi="华文仿宋" w:eastAsia="华文仿宋"/>
                <w:sz w:val="28"/>
                <w:szCs w:val="28"/>
              </w:rPr>
            </w:pPr>
            <w:r>
              <w:rPr>
                <w:rFonts w:ascii="华文仿宋" w:hAnsi="华文仿宋" w:eastAsia="华文仿宋"/>
                <w:sz w:val="28"/>
                <w:szCs w:val="28"/>
              </w:rPr>
              <w:t>键</w:t>
            </w:r>
          </w:p>
          <w:p>
            <w:pPr>
              <w:spacing w:line="480" w:lineRule="exact"/>
              <w:ind w:left="43" w:leftChars="-65" w:right="-128" w:rightChars="-61" w:hanging="179" w:hangingChars="64"/>
              <w:jc w:val="center"/>
              <w:rPr>
                <w:rFonts w:hint="eastAsia" w:ascii="华文仿宋" w:hAnsi="华文仿宋" w:eastAsia="华文仿宋"/>
                <w:sz w:val="28"/>
                <w:szCs w:val="28"/>
              </w:rPr>
            </w:pPr>
            <w:r>
              <w:rPr>
                <w:rFonts w:ascii="华文仿宋" w:hAnsi="华文仿宋" w:eastAsia="华文仿宋"/>
                <w:sz w:val="28"/>
                <w:szCs w:val="28"/>
              </w:rPr>
              <w:t>项</w:t>
            </w:r>
          </w:p>
          <w:p>
            <w:pPr>
              <w:spacing w:line="480" w:lineRule="exact"/>
              <w:ind w:left="43" w:leftChars="-65" w:right="-128" w:rightChars="-61" w:hanging="179" w:hangingChars="64"/>
              <w:jc w:val="center"/>
              <w:rPr>
                <w:rFonts w:ascii="华文仿宋" w:hAnsi="华文仿宋" w:eastAsia="华文仿宋"/>
                <w:sz w:val="28"/>
                <w:szCs w:val="28"/>
              </w:rPr>
            </w:pPr>
            <w:r>
              <w:rPr>
                <w:rFonts w:ascii="华文仿宋" w:hAnsi="华文仿宋" w:eastAsia="华文仿宋"/>
                <w:sz w:val="28"/>
                <w:szCs w:val="28"/>
              </w:rPr>
              <w:t>目</w:t>
            </w:r>
          </w:p>
        </w:tc>
        <w:tc>
          <w:tcPr>
            <w:tcW w:w="760" w:type="dxa"/>
            <w:vAlign w:val="center"/>
          </w:tcPr>
          <w:p>
            <w:pPr>
              <w:spacing w:line="480" w:lineRule="exact"/>
              <w:ind w:right="-128" w:rightChars="-61"/>
              <w:rPr>
                <w:rFonts w:ascii="华文仿宋" w:hAnsi="华文仿宋" w:eastAsia="华文仿宋"/>
                <w:sz w:val="28"/>
                <w:szCs w:val="28"/>
              </w:rPr>
            </w:pPr>
          </w:p>
          <w:p>
            <w:pPr>
              <w:spacing w:line="480" w:lineRule="exact"/>
              <w:ind w:right="-128" w:rightChars="-61"/>
              <w:rPr>
                <w:rFonts w:ascii="华文仿宋" w:hAnsi="华文仿宋" w:eastAsia="华文仿宋"/>
                <w:sz w:val="28"/>
                <w:szCs w:val="28"/>
              </w:rPr>
            </w:pPr>
          </w:p>
        </w:tc>
        <w:tc>
          <w:tcPr>
            <w:tcW w:w="980" w:type="dxa"/>
            <w:vAlign w:val="center"/>
          </w:tcPr>
          <w:p>
            <w:pPr>
              <w:spacing w:line="480" w:lineRule="exact"/>
              <w:ind w:right="-128" w:rightChars="-61"/>
              <w:rPr>
                <w:rFonts w:ascii="华文仿宋" w:hAnsi="华文仿宋" w:eastAsia="华文仿宋"/>
                <w:sz w:val="28"/>
                <w:szCs w:val="28"/>
              </w:rPr>
            </w:pPr>
          </w:p>
        </w:tc>
        <w:tc>
          <w:tcPr>
            <w:tcW w:w="6480" w:type="dxa"/>
            <w:gridSpan w:val="5"/>
          </w:tcPr>
          <w:p>
            <w:pPr>
              <w:spacing w:line="480" w:lineRule="exact"/>
              <w:rPr>
                <w:rFonts w:ascii="华文仿宋" w:hAnsi="华文仿宋" w:eastAsia="华文仿宋"/>
                <w:szCs w:val="24"/>
              </w:rPr>
            </w:pPr>
          </w:p>
          <w:p>
            <w:pPr>
              <w:spacing w:line="480" w:lineRule="exact"/>
              <w:rPr>
                <w:rFonts w:ascii="华文仿宋" w:hAnsi="华文仿宋" w:eastAsia="华文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restart"/>
            <w:vAlign w:val="center"/>
          </w:tcPr>
          <w:p>
            <w:pPr>
              <w:spacing w:line="480" w:lineRule="exact"/>
              <w:ind w:right="-128" w:rightChars="-61"/>
              <w:rPr>
                <w:rFonts w:ascii="华文仿宋" w:hAnsi="华文仿宋" w:eastAsia="华文仿宋"/>
                <w:sz w:val="28"/>
                <w:szCs w:val="28"/>
              </w:rPr>
            </w:pPr>
            <w:r>
              <w:rPr>
                <w:rFonts w:ascii="华文仿宋" w:hAnsi="华文仿宋" w:eastAsia="华文仿宋"/>
                <w:sz w:val="28"/>
                <w:szCs w:val="28"/>
              </w:rPr>
              <w:t>一般项目</w:t>
            </w: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1.8.1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附录2.1.2</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现场提问微生物检验员，其对微生物学基础知识（如培养基的选择、培养基的适用性验证）掌握不足。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1.10.3</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附录2.1.4</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洁净厂房手消毒剂的使用未按《清洗剂、消毒剂配制标准操作规程》（CZGC-WS-03）的要求贴好标签、品名、配制日期及有效期。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1.11.1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附录2.1.5</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现场无法提供生产部谢某、质量部刘某2017年度的体检报告。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1.12.1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附录2.1.6</w:t>
            </w:r>
          </w:p>
        </w:tc>
        <w:tc>
          <w:tcPr>
            <w:tcW w:w="6480" w:type="dxa"/>
            <w:gridSpan w:val="5"/>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洁净厂房工作鞋底污垢明显，未按《洁净区工作服清洁标准操作规程》的要求每周清洗一次。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2.15.1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附录2.2.8</w:t>
            </w:r>
          </w:p>
        </w:tc>
        <w:tc>
          <w:tcPr>
            <w:tcW w:w="6480" w:type="dxa"/>
            <w:gridSpan w:val="5"/>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洁净厂房空气浮游菌、沉降菌的检测采用营养肉汤培养基，未按《浮游菌检测标准操作规程》（CZGC-ZJ-JC-04）、《沉降菌检测标准操作规程》（CZGC-ZJ-02）的要求，依据《医药工业洁净室（区）浮游菌的测试方法》（GB/T16293-2010）、《医药工业洁净室（区）沉降菌的测试方法》（GB/T16294-2010）进行培养，并进行培养基适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2.20.1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附录2.2.13</w:t>
            </w:r>
          </w:p>
        </w:tc>
        <w:tc>
          <w:tcPr>
            <w:tcW w:w="6480" w:type="dxa"/>
            <w:gridSpan w:val="5"/>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洁净厂房椅子、洗衣间排水口、水槽锈迹锈斑、积灰明显；灭菌锅的排水桶污垢未及时清洗。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2.26.2</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附录2.2.19</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生物安全柜过滤器性能未定期进行检查，并记录。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3.2.3</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第二十条</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未记录HVAC净化系统初效、中效的初始压差，《HVAC净化系统维修、保养操作规程》（CZGC-SB-36）2.1.3要求“高效过滤器终阻力达到初阻力2倍时”应更换，但未见相应的处置记录。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3.8.1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附录2.3.2</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工艺用水采用YY/T1244标准，但未按照《药典》（2015）版的要求采用R2A琼脂培养基，并进行培养基适用性检测，采用营养肉汤培养基（批号：050104）有效期为3年，无法确定是否已过期，该培养基仅适用于培养金黄色葡萄球菌，且未见培养基配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7.13.1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附录2.6.2</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清洗后的容器具内表面污渍明显。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7.14.1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附录2.6.7</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未明确中间品储存条件期限。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7.20.1</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附录2.6.11</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器具清洗间的待灭菌区放置手套、布等清洁工具。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80" w:lineRule="exact"/>
              <w:ind w:right="-128" w:rightChars="-61"/>
              <w:rPr>
                <w:rFonts w:ascii="华文仿宋" w:hAnsi="华文仿宋" w:eastAsia="华文仿宋"/>
                <w:sz w:val="28"/>
                <w:szCs w:val="28"/>
              </w:rPr>
            </w:pPr>
          </w:p>
        </w:tc>
        <w:tc>
          <w:tcPr>
            <w:tcW w:w="76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7.22.3</w:t>
            </w:r>
          </w:p>
        </w:tc>
        <w:tc>
          <w:tcPr>
            <w:tcW w:w="980" w:type="dxa"/>
            <w:vAlign w:val="center"/>
          </w:tcPr>
          <w:p>
            <w:pPr>
              <w:spacing w:line="480" w:lineRule="exact"/>
              <w:ind w:right="-128" w:rightChars="-61"/>
              <w:rPr>
                <w:rFonts w:hint="eastAsia" w:ascii="华文仿宋" w:hAnsi="华文仿宋" w:eastAsia="华文仿宋"/>
                <w:sz w:val="28"/>
                <w:szCs w:val="28"/>
              </w:rPr>
            </w:pPr>
            <w:r>
              <w:rPr>
                <w:rFonts w:hint="eastAsia" w:ascii="华文仿宋" w:hAnsi="华文仿宋" w:eastAsia="华文仿宋"/>
                <w:sz w:val="28"/>
                <w:szCs w:val="28"/>
              </w:rPr>
              <w:t>附录2.6.11</w:t>
            </w:r>
          </w:p>
        </w:tc>
        <w:tc>
          <w:tcPr>
            <w:tcW w:w="6480" w:type="dxa"/>
            <w:gridSpan w:val="5"/>
          </w:tcPr>
          <w:p>
            <w:pPr>
              <w:spacing w:line="480" w:lineRule="exact"/>
              <w:ind w:left="140" w:right="-128" w:rightChars="-61" w:hanging="140" w:hangingChars="50"/>
              <w:rPr>
                <w:rFonts w:hint="eastAsia" w:ascii="华文仿宋" w:hAnsi="华文仿宋" w:eastAsia="华文仿宋"/>
                <w:sz w:val="28"/>
                <w:szCs w:val="28"/>
              </w:rPr>
            </w:pPr>
            <w:r>
              <w:rPr>
                <w:rFonts w:hint="eastAsia" w:ascii="华文仿宋" w:hAnsi="华文仿宋" w:eastAsia="华文仿宋"/>
                <w:sz w:val="28"/>
                <w:szCs w:val="28"/>
              </w:rPr>
              <w:t>相关的配制和分装器具未专用。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791" w:type="dxa"/>
            <w:gridSpan w:val="9"/>
            <w:vAlign w:val="center"/>
          </w:tcPr>
          <w:p>
            <w:pPr>
              <w:spacing w:line="520" w:lineRule="exact"/>
              <w:jc w:val="center"/>
              <w:rPr>
                <w:rFonts w:ascii="华文仿宋" w:hAnsi="华文仿宋" w:eastAsia="华文仿宋"/>
                <w:szCs w:val="24"/>
              </w:rPr>
            </w:pPr>
            <w:bookmarkStart w:id="0" w:name="_GoBack" w:colFirst="0" w:colLast="3"/>
            <w:r>
              <w:rPr>
                <w:rFonts w:hint="eastAsia" w:ascii="??_GB2312" w:hAnsi="宋体" w:eastAsia="Times New Roman"/>
                <w:b/>
                <w:bCs/>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1" w:type="dxa"/>
            <w:gridSpan w:val="9"/>
            <w:vAlign w:val="center"/>
          </w:tcPr>
          <w:p>
            <w:pPr>
              <w:spacing w:line="520" w:lineRule="exact"/>
              <w:ind w:firstLine="560" w:firstLineChars="200"/>
              <w:rPr>
                <w:rFonts w:ascii="华文仿宋" w:hAnsi="华文仿宋" w:eastAsia="华文仿宋"/>
                <w:szCs w:val="24"/>
              </w:rPr>
            </w:pPr>
            <w:r>
              <w:rPr>
                <w:rFonts w:hint="eastAsia" w:ascii="仿宋_GB2312" w:hAnsi="宋体" w:eastAsia="仿宋_GB2312"/>
                <w:sz w:val="28"/>
                <w:szCs w:val="28"/>
                <w:lang w:val="en-US" w:eastAsia="zh-CN"/>
              </w:rPr>
              <w:t>针对该公司检查中发现的问题，莆田市食品药品监督管理局应责令企业限期整改，必要时跟踪复查，并要求企业评估产品安全风险，对有可能导致安全隐患的，应按照《医疗器械召回管理办法》的规定召回相关产品。企业完成整改后，莆田市食品药品监督管理局应将相关情况及时报送省局医疗器械处。</w:t>
            </w:r>
          </w:p>
        </w:tc>
      </w:tr>
      <w:bookmarkEnd w:id="0"/>
    </w:tbl>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hint="eastAsia" w:ascii="方正小标宋简体" w:eastAsia="方正小标宋简体"/>
          <w:bCs/>
          <w:w w:val="90"/>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177E27"/>
    <w:rsid w:val="001B2C2E"/>
    <w:rsid w:val="001E3A02"/>
    <w:rsid w:val="00236949"/>
    <w:rsid w:val="007376C2"/>
    <w:rsid w:val="007F3D73"/>
    <w:rsid w:val="008863E0"/>
    <w:rsid w:val="00902AE1"/>
    <w:rsid w:val="009D5826"/>
    <w:rsid w:val="00AB1E93"/>
    <w:rsid w:val="00B25578"/>
    <w:rsid w:val="00C02201"/>
    <w:rsid w:val="00C541EC"/>
    <w:rsid w:val="00F66FE5"/>
    <w:rsid w:val="05E668E6"/>
    <w:rsid w:val="06F93970"/>
    <w:rsid w:val="08586236"/>
    <w:rsid w:val="0A204B50"/>
    <w:rsid w:val="0C1542DE"/>
    <w:rsid w:val="153132DD"/>
    <w:rsid w:val="16E27477"/>
    <w:rsid w:val="1A8D2BC4"/>
    <w:rsid w:val="24EA7DE4"/>
    <w:rsid w:val="293811C2"/>
    <w:rsid w:val="2DD013A6"/>
    <w:rsid w:val="408527BB"/>
    <w:rsid w:val="433C174C"/>
    <w:rsid w:val="436237CB"/>
    <w:rsid w:val="47967063"/>
    <w:rsid w:val="4A257906"/>
    <w:rsid w:val="4ADC21F2"/>
    <w:rsid w:val="4C1F0956"/>
    <w:rsid w:val="5D3C4433"/>
    <w:rsid w:val="62D408E1"/>
    <w:rsid w:val="6D010AF1"/>
    <w:rsid w:val="6EFE1888"/>
    <w:rsid w:val="70DA21E5"/>
    <w:rsid w:val="74DB0D19"/>
    <w:rsid w:val="752D5B75"/>
    <w:rsid w:val="7CBB4E7C"/>
    <w:rsid w:val="7E120BEB"/>
    <w:rsid w:val="7F63302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6A3C3-41BF-439A-B19D-B0BDDFA70C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322</Words>
  <Characters>1836</Characters>
  <Lines>15</Lines>
  <Paragraphs>4</Paragraphs>
  <TotalTime>0</TotalTime>
  <ScaleCrop>false</ScaleCrop>
  <LinksUpToDate>false</LinksUpToDate>
  <CharactersWithSpaces>2154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2018-06-25T08:31:23Z</cp:lastPrinted>
  <dcterms:modified xsi:type="dcterms:W3CDTF">2018-06-25T08:46:27Z</dcterms:modified>
  <dc:title>医疗器械现场监督检查工作规程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