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仿宋" w:hAnsi="仿宋" w:eastAsia="仿宋" w:cs="仿宋"/>
          <w:bCs/>
          <w:w w:val="95"/>
          <w:sz w:val="44"/>
          <w:szCs w:val="44"/>
        </w:rPr>
      </w:pPr>
      <w:r>
        <w:rPr>
          <w:rFonts w:hint="eastAsia" w:ascii="仿宋_GB2312" w:hAnsi="宋体" w:eastAsia="仿宋_GB2312"/>
          <w:b/>
          <w:bCs w:val="0"/>
          <w:w w:val="95"/>
          <w:sz w:val="36"/>
          <w:szCs w:val="36"/>
          <w:lang w:val="en-US" w:eastAsia="zh-CN"/>
        </w:rPr>
        <w:t>对易联众信息技术股份有限公司双随机检查通报</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
        <w:gridCol w:w="955"/>
        <w:gridCol w:w="1025"/>
        <w:gridCol w:w="1650"/>
        <w:gridCol w:w="870"/>
        <w:gridCol w:w="15"/>
        <w:gridCol w:w="163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企业名称</w:t>
            </w:r>
          </w:p>
        </w:tc>
        <w:tc>
          <w:tcPr>
            <w:tcW w:w="2520" w:type="dxa"/>
            <w:gridSpan w:val="2"/>
            <w:vAlign w:val="center"/>
          </w:tcPr>
          <w:p>
            <w:pPr>
              <w:spacing w:line="440" w:lineRule="exact"/>
              <w:rPr>
                <w:szCs w:val="24"/>
              </w:rPr>
            </w:pPr>
            <w:r>
              <w:rPr>
                <w:rFonts w:hint="eastAsia" w:ascii="仿宋_GB2312" w:eastAsia="仿宋_GB2312"/>
                <w:sz w:val="28"/>
                <w:szCs w:val="28"/>
              </w:rPr>
              <w:t>易联众信息技术股份有限公司</w:t>
            </w:r>
          </w:p>
        </w:tc>
        <w:tc>
          <w:tcPr>
            <w:tcW w:w="1650" w:type="dxa"/>
            <w:gridSpan w:val="2"/>
            <w:vAlign w:val="center"/>
          </w:tcPr>
          <w:p>
            <w:pPr>
              <w:spacing w:line="440" w:lineRule="exact"/>
              <w:jc w:val="center"/>
              <w:rPr>
                <w:szCs w:val="24"/>
              </w:rPr>
            </w:pPr>
            <w:r>
              <w:rPr>
                <w:rFonts w:hint="eastAsia" w:ascii="仿宋_GB2312" w:eastAsia="仿宋_GB2312"/>
                <w:sz w:val="28"/>
                <w:szCs w:val="28"/>
              </w:rPr>
              <w:t>法定代表人</w:t>
            </w:r>
          </w:p>
        </w:tc>
        <w:tc>
          <w:tcPr>
            <w:tcW w:w="2034"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张曦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551" w:type="dxa"/>
            <w:gridSpan w:val="4"/>
            <w:vAlign w:val="center"/>
          </w:tcPr>
          <w:p>
            <w:pPr>
              <w:spacing w:line="440" w:lineRule="exact"/>
              <w:jc w:val="center"/>
              <w:rPr>
                <w:rFonts w:ascii="仿宋_GB2312" w:eastAsia="仿宋_GB2312"/>
                <w:sz w:val="28"/>
                <w:szCs w:val="28"/>
              </w:rPr>
            </w:pPr>
            <w:r>
              <w:rPr>
                <w:rFonts w:hint="eastAsia" w:ascii="仿宋_GB2312" w:eastAsia="仿宋_GB2312"/>
                <w:sz w:val="28"/>
                <w:szCs w:val="28"/>
              </w:rPr>
              <w:t>企业负责人</w:t>
            </w:r>
          </w:p>
        </w:tc>
        <w:tc>
          <w:tcPr>
            <w:tcW w:w="1650" w:type="dxa"/>
            <w:vAlign w:val="center"/>
          </w:tcPr>
          <w:p>
            <w:pPr>
              <w:spacing w:line="440" w:lineRule="exact"/>
              <w:jc w:val="center"/>
              <w:rPr>
                <w:rFonts w:ascii="仿宋_GB2312" w:eastAsia="仿宋_GB2312"/>
                <w:sz w:val="28"/>
                <w:szCs w:val="28"/>
              </w:rPr>
            </w:pPr>
            <w:r>
              <w:rPr>
                <w:rFonts w:hint="eastAsia" w:ascii="??_GB2312" w:eastAsia="Times New Roman" w:cs="Times New Roman"/>
                <w:sz w:val="28"/>
                <w:szCs w:val="28"/>
              </w:rPr>
              <w:t>郑兴华</w:t>
            </w:r>
          </w:p>
        </w:tc>
        <w:tc>
          <w:tcPr>
            <w:tcW w:w="885" w:type="dxa"/>
            <w:gridSpan w:val="2"/>
            <w:vAlign w:val="center"/>
          </w:tcPr>
          <w:p>
            <w:pPr>
              <w:spacing w:line="440" w:lineRule="exact"/>
              <w:jc w:val="center"/>
              <w:rPr>
                <w:szCs w:val="24"/>
              </w:rPr>
            </w:pPr>
            <w:r>
              <w:rPr>
                <w:rFonts w:hint="eastAsia" w:ascii="仿宋_GB2312" w:eastAsia="仿宋_GB2312"/>
                <w:sz w:val="28"/>
                <w:szCs w:val="28"/>
              </w:rPr>
              <w:t>电话</w:t>
            </w:r>
          </w:p>
        </w:tc>
        <w:tc>
          <w:tcPr>
            <w:tcW w:w="3669" w:type="dxa"/>
            <w:gridSpan w:val="2"/>
            <w:vAlign w:val="center"/>
          </w:tcPr>
          <w:p>
            <w:pPr>
              <w:spacing w:line="440" w:lineRule="exact"/>
              <w:rPr>
                <w:rFonts w:hint="eastAsia" w:ascii="仿宋_GB2312" w:eastAsia="仿宋_GB2312"/>
                <w:sz w:val="28"/>
                <w:szCs w:val="28"/>
                <w:lang w:eastAsia="zh-CN"/>
              </w:rPr>
            </w:pPr>
            <w:r>
              <w:rPr>
                <w:rFonts w:hint="eastAsia" w:ascii="仿宋_GB2312"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1" w:type="dxa"/>
            <w:gridSpan w:val="4"/>
            <w:vAlign w:val="center"/>
          </w:tcPr>
          <w:p>
            <w:pPr>
              <w:spacing w:line="440" w:lineRule="exact"/>
              <w:jc w:val="center"/>
              <w:rPr>
                <w:rFonts w:ascii="仿宋_GB2312" w:eastAsia="仿宋_GB2312"/>
                <w:sz w:val="28"/>
                <w:szCs w:val="28"/>
              </w:rPr>
            </w:pPr>
            <w:r>
              <w:rPr>
                <w:rFonts w:hint="eastAsia" w:ascii="仿宋_GB2312" w:eastAsia="仿宋_GB2312"/>
                <w:sz w:val="28"/>
                <w:szCs w:val="28"/>
              </w:rPr>
              <w:t>管理者代表</w:t>
            </w:r>
          </w:p>
        </w:tc>
        <w:tc>
          <w:tcPr>
            <w:tcW w:w="1650" w:type="dxa"/>
          </w:tcPr>
          <w:p>
            <w:pPr>
              <w:spacing w:line="440" w:lineRule="exact"/>
              <w:jc w:val="center"/>
              <w:rPr>
                <w:szCs w:val="24"/>
              </w:rPr>
            </w:pPr>
            <w:r>
              <w:rPr>
                <w:rFonts w:hint="eastAsia" w:cs="Times New Roman"/>
                <w:sz w:val="28"/>
              </w:rPr>
              <w:t>张俊</w:t>
            </w:r>
          </w:p>
        </w:tc>
        <w:tc>
          <w:tcPr>
            <w:tcW w:w="885" w:type="dxa"/>
            <w:gridSpan w:val="2"/>
            <w:vAlign w:val="center"/>
          </w:tcPr>
          <w:p>
            <w:pPr>
              <w:spacing w:line="440" w:lineRule="exact"/>
              <w:jc w:val="center"/>
              <w:rPr>
                <w:szCs w:val="24"/>
              </w:rPr>
            </w:pPr>
            <w:r>
              <w:rPr>
                <w:rFonts w:hint="eastAsia" w:ascii="仿宋_GB2312" w:eastAsia="仿宋_GB2312"/>
                <w:sz w:val="28"/>
                <w:szCs w:val="28"/>
              </w:rPr>
              <w:t>电话</w:t>
            </w:r>
          </w:p>
        </w:tc>
        <w:tc>
          <w:tcPr>
            <w:tcW w:w="3669" w:type="dxa"/>
            <w:gridSpan w:val="2"/>
          </w:tcPr>
          <w:p>
            <w:pPr>
              <w:spacing w:line="440" w:lineRule="exact"/>
              <w:rPr>
                <w:rFonts w:hint="eastAsia" w:ascii="仿宋_GB2312" w:eastAsia="仿宋_GB2312"/>
                <w:sz w:val="28"/>
                <w:szCs w:val="28"/>
                <w:lang w:eastAsia="zh-CN"/>
              </w:rPr>
            </w:pPr>
            <w:r>
              <w:rPr>
                <w:rFonts w:hint="eastAsia" w:ascii="仿宋_GB2312"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注册地址</w:t>
            </w:r>
          </w:p>
        </w:tc>
        <w:tc>
          <w:tcPr>
            <w:tcW w:w="6204" w:type="dxa"/>
            <w:gridSpan w:val="5"/>
          </w:tcPr>
          <w:p>
            <w:pPr>
              <w:spacing w:line="440" w:lineRule="exact"/>
              <w:rPr>
                <w:rFonts w:ascii="仿宋_GB2312" w:eastAsia="仿宋_GB2312"/>
                <w:sz w:val="28"/>
                <w:szCs w:val="28"/>
              </w:rPr>
            </w:pPr>
            <w:r>
              <w:rPr>
                <w:rFonts w:hint="eastAsia" w:ascii="仿宋_GB2312" w:eastAsia="仿宋_GB2312"/>
                <w:sz w:val="28"/>
                <w:szCs w:val="28"/>
              </w:rPr>
              <w:t>厦门市软件园二期观日路18号502室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生产地址</w:t>
            </w:r>
          </w:p>
        </w:tc>
        <w:tc>
          <w:tcPr>
            <w:tcW w:w="6204" w:type="dxa"/>
            <w:gridSpan w:val="5"/>
          </w:tcPr>
          <w:p>
            <w:pPr>
              <w:spacing w:line="440" w:lineRule="exact"/>
              <w:rPr>
                <w:rFonts w:ascii="仿宋_GB2312" w:eastAsia="仿宋_GB2312"/>
                <w:sz w:val="28"/>
                <w:szCs w:val="28"/>
              </w:rPr>
            </w:pPr>
            <w:r>
              <w:rPr>
                <w:rFonts w:hint="eastAsia" w:ascii="仿宋_GB2312" w:eastAsia="仿宋_GB2312"/>
                <w:sz w:val="28"/>
                <w:szCs w:val="28"/>
              </w:rPr>
              <w:t>厦门市软件园二期观日路18号402室、502室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检查日期</w:t>
            </w:r>
          </w:p>
        </w:tc>
        <w:tc>
          <w:tcPr>
            <w:tcW w:w="6204" w:type="dxa"/>
            <w:gridSpan w:val="5"/>
          </w:tcPr>
          <w:p>
            <w:pPr>
              <w:spacing w:line="440" w:lineRule="exact"/>
              <w:rPr>
                <w:szCs w:val="24"/>
              </w:rPr>
            </w:pPr>
            <w:r>
              <w:rPr>
                <w:rFonts w:ascii="仿宋_GB2312" w:eastAsia="仿宋_GB2312"/>
                <w:sz w:val="28"/>
                <w:szCs w:val="28"/>
              </w:rPr>
              <w:t>2018</w:t>
            </w:r>
            <w:r>
              <w:rPr>
                <w:rFonts w:hint="eastAsia" w:ascii="仿宋_GB2312" w:eastAsia="仿宋_GB2312"/>
                <w:sz w:val="28"/>
                <w:szCs w:val="28"/>
              </w:rPr>
              <w:t>年7月12日-2018年7月13日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产品类别</w:t>
            </w:r>
          </w:p>
        </w:tc>
        <w:tc>
          <w:tcPr>
            <w:tcW w:w="6204" w:type="dxa"/>
            <w:gridSpan w:val="5"/>
          </w:tcPr>
          <w:p>
            <w:pPr>
              <w:spacing w:line="440" w:lineRule="exact"/>
              <w:rPr>
                <w:szCs w:val="24"/>
              </w:rPr>
            </w:pPr>
            <w:r>
              <w:rPr>
                <w:rFonts w:hint="eastAsia" w:ascii="仿宋_GB2312" w:hAnsi="宋体" w:eastAsia="仿宋_GB2312"/>
                <w:bCs/>
                <w:sz w:val="28"/>
                <w:szCs w:val="28"/>
              </w:rPr>
              <w:t xml:space="preserve">□无菌医疗器械  □植入性医疗器械 □体外诊断试剂   □定制式义齿    </w:t>
            </w:r>
            <w:r>
              <w:rPr>
                <w:rFonts w:hint="eastAsia" w:ascii="仿宋_GB2312" w:hAnsi="仿宋_GB2312" w:eastAsia="仿宋_GB2312" w:cs="仿宋_GB2312"/>
                <w:sz w:val="24"/>
                <w:szCs w:val="24"/>
              </w:rPr>
              <w:t>√</w:t>
            </w:r>
            <w:r>
              <w:rPr>
                <w:rFonts w:hint="eastAsia" w:ascii="仿宋_GB2312" w:hAnsi="宋体" w:eastAsia="仿宋_GB2312"/>
                <w:bCs/>
                <w:sz w:val="28"/>
                <w:szCs w:val="28"/>
              </w:rPr>
              <w:t xml:space="preserve">其他医疗器械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551" w:type="dxa"/>
            <w:gridSpan w:val="4"/>
            <w:vAlign w:val="center"/>
          </w:tcPr>
          <w:p>
            <w:pPr>
              <w:spacing w:line="440" w:lineRule="exact"/>
              <w:jc w:val="center"/>
              <w:rPr>
                <w:rFonts w:ascii="仿宋_GB2312" w:eastAsia="仿宋_GB2312"/>
                <w:sz w:val="28"/>
                <w:szCs w:val="28"/>
              </w:rPr>
            </w:pPr>
            <w:r>
              <w:rPr>
                <w:rFonts w:hint="eastAsia" w:ascii="仿宋_GB2312" w:eastAsia="仿宋_GB2312"/>
                <w:sz w:val="28"/>
                <w:szCs w:val="28"/>
              </w:rPr>
              <w:t>抽查产品</w:t>
            </w:r>
          </w:p>
          <w:p>
            <w:pPr>
              <w:spacing w:line="440" w:lineRule="exact"/>
              <w:jc w:val="center"/>
              <w:rPr>
                <w:szCs w:val="24"/>
              </w:rPr>
            </w:pPr>
            <w:r>
              <w:rPr>
                <w:rFonts w:hint="eastAsia" w:ascii="仿宋_GB2312" w:eastAsia="仿宋_GB2312"/>
                <w:sz w:val="28"/>
                <w:szCs w:val="28"/>
              </w:rPr>
              <w:t>名称</w:t>
            </w:r>
          </w:p>
        </w:tc>
        <w:tc>
          <w:tcPr>
            <w:tcW w:w="6204" w:type="dxa"/>
            <w:gridSpan w:val="5"/>
            <w:vAlign w:val="center"/>
          </w:tcPr>
          <w:p>
            <w:pPr>
              <w:spacing w:line="440" w:lineRule="exact"/>
              <w:rPr>
                <w:szCs w:val="24"/>
              </w:rPr>
            </w:pPr>
            <w:r>
              <w:rPr>
                <w:rFonts w:hint="eastAsia" w:ascii="仿宋_GB2312" w:eastAsia="仿宋_GB2312"/>
                <w:sz w:val="28"/>
                <w:szCs w:val="28"/>
              </w:rPr>
              <w:t>图像存储与传输系统（PACS）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1" w:type="dxa"/>
            <w:gridSpan w:val="4"/>
            <w:vAlign w:val="center"/>
          </w:tcPr>
          <w:p>
            <w:pPr>
              <w:spacing w:line="440" w:lineRule="exact"/>
              <w:jc w:val="center"/>
              <w:rPr>
                <w:szCs w:val="24"/>
              </w:rPr>
            </w:pPr>
            <w:r>
              <w:rPr>
                <w:rFonts w:hint="eastAsia" w:ascii="仿宋_GB2312" w:eastAsia="仿宋_GB2312"/>
                <w:sz w:val="28"/>
                <w:szCs w:val="28"/>
              </w:rPr>
              <w:t>检查目的和范围</w:t>
            </w:r>
          </w:p>
        </w:tc>
        <w:tc>
          <w:tcPr>
            <w:tcW w:w="6204" w:type="dxa"/>
            <w:gridSpan w:val="5"/>
          </w:tcPr>
          <w:p>
            <w:pPr>
              <w:spacing w:line="440" w:lineRule="exact"/>
              <w:rPr>
                <w:szCs w:val="24"/>
              </w:rPr>
            </w:pPr>
            <w:r>
              <w:rPr>
                <w:rFonts w:hint="eastAsia" w:ascii="仿宋_GB2312" w:eastAsia="仿宋_GB2312"/>
                <w:bCs/>
                <w:sz w:val="28"/>
                <w:szCs w:val="28"/>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检查依据</w:t>
            </w:r>
          </w:p>
        </w:tc>
        <w:tc>
          <w:tcPr>
            <w:tcW w:w="6204" w:type="dxa"/>
            <w:gridSpan w:val="5"/>
          </w:tcPr>
          <w:p>
            <w:pPr>
              <w:spacing w:line="440" w:lineRule="exact"/>
              <w:rPr>
                <w:rFonts w:ascii="仿宋_GB2312" w:eastAsia="仿宋_GB2312"/>
                <w:sz w:val="28"/>
                <w:szCs w:val="28"/>
              </w:rPr>
            </w:pPr>
            <w:r>
              <w:rPr>
                <w:rFonts w:hint="eastAsia" w:ascii="仿宋_GB2312" w:hAnsi="仿宋_GB2312" w:eastAsia="仿宋_GB2312" w:cs="仿宋_GB2312"/>
                <w:sz w:val="24"/>
                <w:szCs w:val="24"/>
              </w:rPr>
              <w:t>√</w:t>
            </w:r>
            <w:r>
              <w:rPr>
                <w:rFonts w:hint="eastAsia" w:ascii="仿宋_GB2312" w:eastAsia="仿宋_GB2312"/>
                <w:sz w:val="28"/>
                <w:szCs w:val="28"/>
              </w:rPr>
              <w:t>医疗器械生产质量管理规范（GMP）</w:t>
            </w:r>
          </w:p>
          <w:p>
            <w:pPr>
              <w:spacing w:line="440" w:lineRule="exact"/>
              <w:rPr>
                <w:rFonts w:ascii="仿宋_GB2312" w:eastAsia="仿宋_GB2312"/>
                <w:sz w:val="28"/>
                <w:szCs w:val="28"/>
              </w:rPr>
            </w:pPr>
            <w:r>
              <w:rPr>
                <w:rFonts w:hint="eastAsia" w:ascii="仿宋_GB2312" w:eastAsia="仿宋_GB2312"/>
                <w:sz w:val="28"/>
                <w:szCs w:val="28"/>
              </w:rPr>
              <w:t>□医疗器械GMP附录及指导原则无菌医疗器械部分</w:t>
            </w:r>
          </w:p>
          <w:p>
            <w:pPr>
              <w:spacing w:line="440" w:lineRule="exact"/>
              <w:rPr>
                <w:rFonts w:ascii="仿宋_GB2312" w:eastAsia="仿宋_GB2312"/>
                <w:sz w:val="28"/>
                <w:szCs w:val="28"/>
              </w:rPr>
            </w:pPr>
            <w:r>
              <w:rPr>
                <w:rFonts w:hint="eastAsia" w:ascii="仿宋_GB2312" w:eastAsia="仿宋_GB2312"/>
                <w:sz w:val="28"/>
                <w:szCs w:val="28"/>
              </w:rPr>
              <w:t>□医疗器械GMP附录及指导原则植入性医疗器械部分</w:t>
            </w:r>
          </w:p>
          <w:p>
            <w:pPr>
              <w:spacing w:line="440" w:lineRule="exact"/>
              <w:rPr>
                <w:rFonts w:ascii="仿宋_GB2312" w:eastAsia="仿宋_GB2312"/>
                <w:sz w:val="28"/>
                <w:szCs w:val="28"/>
              </w:rPr>
            </w:pPr>
            <w:r>
              <w:rPr>
                <w:rFonts w:hint="eastAsia" w:ascii="仿宋_GB2312" w:eastAsia="仿宋_GB2312"/>
                <w:sz w:val="28"/>
                <w:szCs w:val="28"/>
              </w:rPr>
              <w:t>□医疗器械GMP附录及指导原则体外诊断试剂部分</w:t>
            </w:r>
          </w:p>
          <w:p>
            <w:pPr>
              <w:spacing w:line="440" w:lineRule="exact"/>
              <w:rPr>
                <w:szCs w:val="24"/>
              </w:rPr>
            </w:pPr>
            <w:r>
              <w:rPr>
                <w:rFonts w:hint="eastAsia" w:ascii="仿宋_GB2312" w:eastAsia="仿宋_GB2312"/>
                <w:sz w:val="28"/>
                <w:szCs w:val="28"/>
              </w:rPr>
              <w:t>□医疗器械GMP附录及指导原则定制式义齿部分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2551" w:type="dxa"/>
            <w:gridSpan w:val="4"/>
            <w:vAlign w:val="center"/>
          </w:tcPr>
          <w:p>
            <w:pPr>
              <w:spacing w:line="440" w:lineRule="exact"/>
              <w:jc w:val="center"/>
              <w:rPr>
                <w:szCs w:val="24"/>
              </w:rPr>
            </w:pPr>
            <w:r>
              <w:rPr>
                <w:rFonts w:hint="eastAsia" w:ascii="仿宋_GB2312" w:eastAsia="仿宋_GB2312"/>
                <w:sz w:val="28"/>
                <w:szCs w:val="28"/>
              </w:rPr>
              <w:t>声   明</w:t>
            </w:r>
          </w:p>
        </w:tc>
        <w:tc>
          <w:tcPr>
            <w:tcW w:w="6204" w:type="dxa"/>
            <w:gridSpan w:val="5"/>
          </w:tcPr>
          <w:p>
            <w:pPr>
              <w:snapToGrid w:val="0"/>
              <w:spacing w:line="440" w:lineRule="exact"/>
              <w:jc w:val="center"/>
              <w:rPr>
                <w:rFonts w:ascii="仿宋_GB2312" w:eastAsia="仿宋_GB2312"/>
                <w:sz w:val="28"/>
                <w:szCs w:val="28"/>
              </w:rPr>
            </w:pPr>
            <w:r>
              <w:rPr>
                <w:rFonts w:hint="eastAsia" w:ascii="仿宋_GB2312" w:eastAsia="仿宋_GB2312"/>
                <w:sz w:val="28"/>
                <w:szCs w:val="28"/>
              </w:rPr>
              <w:t>主要缺陷和问题及其判定依据</w:t>
            </w:r>
          </w:p>
          <w:p>
            <w:pPr>
              <w:spacing w:line="440" w:lineRule="exact"/>
              <w:rPr>
                <w:rFonts w:ascii="仿宋_GB2312" w:hAnsi="宋体" w:eastAsia="仿宋_GB2312"/>
                <w:sz w:val="28"/>
                <w:szCs w:val="28"/>
              </w:rPr>
            </w:pPr>
            <w:r>
              <w:rPr>
                <w:rFonts w:hint="eastAsia" w:ascii="仿宋_GB2312" w:hAnsi="宋体" w:eastAsia="仿宋_GB2312"/>
                <w:sz w:val="28"/>
                <w:szCs w:val="28"/>
              </w:rPr>
              <w:t>本表中所列出的缺陷和问题，只是本次发现，不代表企业缺陷和问题的全部。建立与本企业生产产品特点相适应的质量管理体系并保持其有效运行，是医疗器械生产企业的法定责任。</w:t>
            </w:r>
          </w:p>
          <w:p>
            <w:pPr>
              <w:spacing w:line="44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56" w:type="dxa"/>
            <w:vMerge w:val="restart"/>
            <w:vAlign w:val="center"/>
          </w:tcPr>
          <w:p>
            <w:pPr>
              <w:spacing w:line="400" w:lineRule="exact"/>
              <w:ind w:left="-2" w:leftChars="-65" w:right="-128" w:rightChars="-61" w:hanging="134" w:hangingChars="64"/>
              <w:jc w:val="center"/>
              <w:rPr>
                <w:szCs w:val="24"/>
              </w:rPr>
            </w:pPr>
          </w:p>
        </w:tc>
        <w:tc>
          <w:tcPr>
            <w:tcW w:w="1995" w:type="dxa"/>
            <w:gridSpan w:val="3"/>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依据条款</w:t>
            </w:r>
          </w:p>
        </w:tc>
        <w:tc>
          <w:tcPr>
            <w:tcW w:w="6204" w:type="dxa"/>
            <w:gridSpan w:val="5"/>
            <w:vMerge w:val="restart"/>
            <w:vAlign w:val="center"/>
          </w:tcPr>
          <w:p>
            <w:pPr>
              <w:spacing w:line="520" w:lineRule="exact"/>
              <w:jc w:val="center"/>
              <w:rPr>
                <w:szCs w:val="24"/>
              </w:rPr>
            </w:pPr>
            <w:r>
              <w:rPr>
                <w:rFonts w:hint="eastAsia" w:ascii="仿宋_GB2312" w:hAnsi="宋体" w:eastAsia="仿宋_GB2312"/>
                <w:sz w:val="28"/>
                <w:szCs w:val="28"/>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556" w:type="dxa"/>
            <w:vMerge w:val="continue"/>
            <w:vAlign w:val="center"/>
          </w:tcPr>
          <w:p>
            <w:pPr>
              <w:spacing w:line="400" w:lineRule="exact"/>
              <w:ind w:left="43" w:leftChars="-65" w:right="-128" w:rightChars="-61" w:hanging="179" w:hangingChars="64"/>
              <w:jc w:val="center"/>
              <w:rPr>
                <w:rFonts w:ascii="仿宋_GB2312" w:hAnsi="宋体" w:eastAsia="仿宋_GB2312"/>
                <w:sz w:val="28"/>
                <w:szCs w:val="28"/>
              </w:rPr>
            </w:pPr>
          </w:p>
        </w:tc>
        <w:tc>
          <w:tcPr>
            <w:tcW w:w="970" w:type="dxa"/>
            <w:gridSpan w:val="2"/>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规范</w:t>
            </w:r>
          </w:p>
        </w:tc>
        <w:tc>
          <w:tcPr>
            <w:tcW w:w="1025" w:type="dxa"/>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指导原则</w:t>
            </w:r>
          </w:p>
        </w:tc>
        <w:tc>
          <w:tcPr>
            <w:tcW w:w="6204" w:type="dxa"/>
            <w:gridSpan w:val="5"/>
            <w:vMerge w:val="continue"/>
            <w:vAlign w:val="center"/>
          </w:tcPr>
          <w:p>
            <w:pPr>
              <w:spacing w:line="5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71" w:type="dxa"/>
            <w:gridSpan w:val="2"/>
            <w:vMerge w:val="restart"/>
            <w:vAlign w:val="center"/>
          </w:tcPr>
          <w:p>
            <w:pPr>
              <w:spacing w:line="400" w:lineRule="exact"/>
              <w:ind w:right="-128" w:rightChars="-61"/>
              <w:rPr>
                <w:rFonts w:ascii="仿宋_GB2312" w:hAnsi="宋体" w:eastAsia="仿宋_GB2312"/>
                <w:b/>
                <w:bCs/>
                <w:sz w:val="28"/>
                <w:szCs w:val="28"/>
              </w:rPr>
            </w:pPr>
            <w:r>
              <w:rPr>
                <w:rFonts w:hint="eastAsia" w:ascii="仿宋_GB2312" w:hAnsi="宋体" w:eastAsia="仿宋_GB2312"/>
                <w:b/>
                <w:bCs/>
                <w:sz w:val="28"/>
                <w:szCs w:val="28"/>
              </w:rPr>
              <w:t>关</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键</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项</w:t>
            </w:r>
          </w:p>
          <w:p>
            <w:pPr>
              <w:spacing w:line="400" w:lineRule="exact"/>
              <w:ind w:left="44" w:leftChars="-65" w:right="-128" w:rightChars="-61" w:hanging="180" w:hangingChars="64"/>
              <w:jc w:val="center"/>
              <w:rPr>
                <w:rFonts w:ascii="仿宋_GB2312" w:hAnsi="宋体" w:eastAsia="仿宋_GB2312"/>
                <w:sz w:val="28"/>
                <w:szCs w:val="28"/>
              </w:rPr>
            </w:pPr>
            <w:r>
              <w:rPr>
                <w:rFonts w:hint="eastAsia" w:ascii="仿宋_GB2312" w:hAnsi="宋体" w:eastAsia="仿宋_GB2312"/>
                <w:b/>
                <w:bCs/>
                <w:sz w:val="28"/>
                <w:szCs w:val="28"/>
              </w:rPr>
              <w:t>目</w:t>
            </w:r>
          </w:p>
        </w:tc>
        <w:tc>
          <w:tcPr>
            <w:tcW w:w="955" w:type="dxa"/>
          </w:tcPr>
          <w:p>
            <w:pPr>
              <w:widowControl/>
              <w:adjustRightInd w:val="0"/>
              <w:snapToGrid w:val="0"/>
              <w:rPr>
                <w:rFonts w:ascii="仿宋_GB2312" w:hAnsi="宋体" w:eastAsia="仿宋_GB2312"/>
                <w:sz w:val="28"/>
                <w:szCs w:val="28"/>
              </w:rPr>
            </w:pPr>
            <w:r>
              <w:rPr>
                <w:rFonts w:hint="eastAsia" w:ascii="仿宋_GB2312" w:hAnsi="宋体" w:eastAsia="仿宋_GB2312"/>
                <w:sz w:val="28"/>
                <w:szCs w:val="28"/>
              </w:rPr>
              <w:t>第七条</w:t>
            </w:r>
          </w:p>
        </w:tc>
        <w:tc>
          <w:tcPr>
            <w:tcW w:w="1025" w:type="dxa"/>
            <w:vAlign w:val="center"/>
          </w:tcPr>
          <w:p>
            <w:pPr>
              <w:spacing w:line="440" w:lineRule="exact"/>
              <w:ind w:right="-128" w:rightChars="-61"/>
              <w:rPr>
                <w:rFonts w:ascii="仿宋_GB2312" w:hAnsi="宋体" w:eastAsia="仿宋_GB2312"/>
                <w:sz w:val="28"/>
                <w:szCs w:val="28"/>
              </w:rPr>
            </w:pPr>
            <w:r>
              <w:rPr>
                <w:rFonts w:ascii="仿宋_GB2312" w:hAnsi="宋体" w:eastAsia="仿宋_GB2312"/>
                <w:sz w:val="28"/>
                <w:szCs w:val="28"/>
              </w:rPr>
              <w:t>*1.3.2</w:t>
            </w:r>
          </w:p>
        </w:tc>
        <w:tc>
          <w:tcPr>
            <w:tcW w:w="6204" w:type="dxa"/>
            <w:gridSpan w:val="5"/>
          </w:tcPr>
          <w:p>
            <w:pPr>
              <w:spacing w:line="440" w:lineRule="exact"/>
              <w:rPr>
                <w:rFonts w:ascii="仿宋_GB2312" w:hAnsi="宋体" w:eastAsia="仿宋_GB2312"/>
                <w:sz w:val="28"/>
                <w:szCs w:val="28"/>
              </w:rPr>
            </w:pPr>
            <w:r>
              <w:rPr>
                <w:rFonts w:hint="eastAsia" w:ascii="仿宋_GB2312" w:hAnsi="宋体" w:eastAsia="仿宋_GB2312"/>
                <w:sz w:val="28"/>
                <w:szCs w:val="28"/>
              </w:rPr>
              <w:t>管理者代表未能保持质量管理体系的运行。查看批号16032302、16032303图像存储与传输系统（PACS）生产记录、过程检验报告、成品检验报告、成品放行单，成品放行单中产品的生产日期、检验日期与生产记录不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71" w:type="dxa"/>
            <w:gridSpan w:val="2"/>
            <w:vMerge w:val="continue"/>
            <w:vAlign w:val="center"/>
          </w:tcPr>
          <w:p>
            <w:pPr>
              <w:spacing w:line="400" w:lineRule="exact"/>
              <w:ind w:right="-128" w:rightChars="-61"/>
              <w:rPr>
                <w:rFonts w:ascii="仿宋_GB2312" w:hAnsi="宋体" w:eastAsia="仿宋_GB2312"/>
                <w:b/>
                <w:bCs/>
                <w:sz w:val="28"/>
                <w:szCs w:val="28"/>
              </w:rPr>
            </w:pPr>
          </w:p>
        </w:tc>
        <w:tc>
          <w:tcPr>
            <w:tcW w:w="955" w:type="dxa"/>
            <w:vAlign w:val="center"/>
          </w:tcPr>
          <w:p>
            <w:pPr>
              <w:spacing w:line="440" w:lineRule="exact"/>
              <w:ind w:right="-128" w:rightChars="-61"/>
              <w:rPr>
                <w:rFonts w:ascii="仿宋_GB2312" w:hAnsi="宋体" w:eastAsia="仿宋_GB2312"/>
                <w:sz w:val="28"/>
                <w:szCs w:val="28"/>
              </w:rPr>
            </w:pPr>
            <w:r>
              <w:rPr>
                <w:rFonts w:hint="eastAsia" w:ascii="仿宋_GB2312" w:hAnsi="宋体" w:eastAsia="仿宋_GB2312"/>
                <w:sz w:val="28"/>
                <w:szCs w:val="28"/>
              </w:rPr>
              <w:t>第二十四条</w:t>
            </w:r>
          </w:p>
        </w:tc>
        <w:tc>
          <w:tcPr>
            <w:tcW w:w="1025" w:type="dxa"/>
            <w:vAlign w:val="center"/>
          </w:tcPr>
          <w:p>
            <w:pPr>
              <w:spacing w:line="440" w:lineRule="exact"/>
              <w:ind w:right="-128" w:rightChars="-61"/>
              <w:rPr>
                <w:rFonts w:ascii="仿宋_GB2312" w:hAnsi="宋体" w:eastAsia="仿宋_GB2312"/>
                <w:sz w:val="28"/>
                <w:szCs w:val="28"/>
              </w:rPr>
            </w:pPr>
            <w:r>
              <w:rPr>
                <w:rFonts w:ascii="仿宋_GB2312" w:hAnsi="宋体" w:eastAsia="仿宋_GB2312"/>
                <w:sz w:val="28"/>
                <w:szCs w:val="28"/>
              </w:rPr>
              <w:t>*4.1.4</w:t>
            </w:r>
          </w:p>
        </w:tc>
        <w:tc>
          <w:tcPr>
            <w:tcW w:w="6204" w:type="dxa"/>
            <w:gridSpan w:val="5"/>
          </w:tcPr>
          <w:p>
            <w:pPr>
              <w:spacing w:line="440" w:lineRule="exact"/>
              <w:rPr>
                <w:rFonts w:ascii="仿宋_GB2312" w:hAnsi="宋体" w:eastAsia="仿宋_GB2312"/>
                <w:sz w:val="28"/>
                <w:szCs w:val="28"/>
              </w:rPr>
            </w:pPr>
            <w:r>
              <w:rPr>
                <w:rFonts w:hint="eastAsia" w:ascii="仿宋_GB2312" w:hAnsi="宋体" w:eastAsia="仿宋_GB2312"/>
                <w:sz w:val="28"/>
                <w:szCs w:val="28"/>
              </w:rPr>
              <w:t>企业于2018年4月16日取得延续注册产品注册证，医疗器械产品技术要求编号：闽械注准20182700085。查看过程检验规程、成品检验规程、使用说明书等文件，未按照产品技术要求修订相关文件。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restart"/>
            <w:vAlign w:val="center"/>
          </w:tcPr>
          <w:p>
            <w:pPr>
              <w:spacing w:line="440" w:lineRule="exact"/>
              <w:jc w:val="center"/>
              <w:rPr>
                <w:rFonts w:ascii="??_GB2312" w:hAnsi="宋体" w:eastAsia="Times New Roman" w:cs="Times New Roman"/>
                <w:b/>
                <w:bCs/>
                <w:sz w:val="28"/>
                <w:szCs w:val="28"/>
              </w:rPr>
            </w:pPr>
            <w:r>
              <w:rPr>
                <w:rFonts w:ascii="??_GB2312" w:hAnsi="宋体" w:eastAsia="Times New Roman" w:cs="Times New Roman"/>
                <w:b/>
                <w:bCs/>
                <w:sz w:val="28"/>
                <w:szCs w:val="28"/>
              </w:rPr>
              <w:t>一</w:t>
            </w:r>
          </w:p>
          <w:p>
            <w:pPr>
              <w:spacing w:line="440" w:lineRule="exact"/>
              <w:jc w:val="center"/>
              <w:rPr>
                <w:rFonts w:ascii="??_GB2312" w:hAnsi="宋体" w:eastAsia="Times New Roman" w:cs="Times New Roman"/>
                <w:b/>
                <w:bCs/>
                <w:sz w:val="28"/>
                <w:szCs w:val="28"/>
              </w:rPr>
            </w:pPr>
            <w:r>
              <w:rPr>
                <w:rFonts w:ascii="??_GB2312" w:hAnsi="宋体" w:eastAsia="Times New Roman" w:cs="Times New Roman"/>
                <w:b/>
                <w:bCs/>
                <w:sz w:val="28"/>
                <w:szCs w:val="28"/>
              </w:rPr>
              <w:t>般</w:t>
            </w:r>
          </w:p>
          <w:p>
            <w:pPr>
              <w:spacing w:line="400" w:lineRule="exact"/>
              <w:ind w:right="-128" w:rightChars="-61"/>
              <w:rPr>
                <w:rFonts w:ascii="仿宋_GB2312" w:hAnsi="宋体" w:eastAsia="仿宋_GB2312"/>
                <w:sz w:val="28"/>
                <w:szCs w:val="28"/>
              </w:rPr>
            </w:pPr>
            <w:r>
              <w:rPr>
                <w:rFonts w:ascii="??_GB2312" w:hAnsi="宋体" w:eastAsia="Times New Roman" w:cs="Times New Roman"/>
                <w:b/>
                <w:bCs/>
                <w:sz w:val="28"/>
                <w:szCs w:val="28"/>
              </w:rPr>
              <w:t>项目</w:t>
            </w:r>
          </w:p>
        </w:tc>
        <w:tc>
          <w:tcPr>
            <w:tcW w:w="955" w:type="dxa"/>
            <w:vAlign w:val="center"/>
          </w:tcPr>
          <w:p>
            <w:pPr>
              <w:spacing w:line="440" w:lineRule="exact"/>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第二十条</w:t>
            </w:r>
          </w:p>
        </w:tc>
        <w:tc>
          <w:tcPr>
            <w:tcW w:w="1025" w:type="dxa"/>
            <w:vAlign w:val="center"/>
          </w:tcPr>
          <w:p>
            <w:pPr>
              <w:spacing w:line="440" w:lineRule="exact"/>
              <w:ind w:left="140" w:right="-128" w:rightChars="-61" w:hanging="140" w:hangingChars="50"/>
              <w:rPr>
                <w:rFonts w:ascii="仿宋_GB2312" w:hAnsi="宋体" w:eastAsia="仿宋_GB2312"/>
                <w:sz w:val="28"/>
                <w:szCs w:val="28"/>
              </w:rPr>
            </w:pPr>
            <w:r>
              <w:rPr>
                <w:rFonts w:ascii="仿宋_GB2312" w:hAnsi="宋体" w:eastAsia="仿宋_GB2312"/>
                <w:sz w:val="28"/>
                <w:szCs w:val="28"/>
              </w:rPr>
              <w:t>3.2.2</w:t>
            </w:r>
          </w:p>
        </w:tc>
        <w:tc>
          <w:tcPr>
            <w:tcW w:w="6204" w:type="dxa"/>
            <w:gridSpan w:val="5"/>
          </w:tcPr>
          <w:p>
            <w:pPr>
              <w:widowControl/>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rPr>
              <w:t>该企业的生产设备和检验设备均为笔记本电脑，生产区和检验区有设备标识和状态标识，生产现场使用的笔记本电脑机身上未见设备编号，无法防止笔记本电脑被非预期使用。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955"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第二十五条</w:t>
            </w:r>
          </w:p>
        </w:tc>
        <w:tc>
          <w:tcPr>
            <w:tcW w:w="1025"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4.2.1</w:t>
            </w:r>
          </w:p>
        </w:tc>
        <w:tc>
          <w:tcPr>
            <w:tcW w:w="6204" w:type="dxa"/>
            <w:gridSpan w:val="5"/>
          </w:tcPr>
          <w:p>
            <w:pPr>
              <w:spacing w:line="400" w:lineRule="exact"/>
              <w:rPr>
                <w:rFonts w:ascii="仿宋_GB2312" w:hAnsi="宋体" w:eastAsia="仿宋_GB2312"/>
                <w:sz w:val="28"/>
                <w:szCs w:val="28"/>
              </w:rPr>
            </w:pPr>
            <w:r>
              <w:rPr>
                <w:rFonts w:hint="eastAsia" w:ascii="仿宋_GB2312" w:hAnsi="宋体" w:eastAsia="仿宋_GB2312"/>
                <w:sz w:val="28"/>
                <w:szCs w:val="28"/>
              </w:rPr>
              <w:t>企业使用的表单均未按照《文件控制程序》（YLZ-QP-01）要求进行编号，无法管控现场使用的表单版本。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955" w:type="dxa"/>
            <w:vAlign w:val="center"/>
          </w:tcPr>
          <w:p>
            <w:pPr>
              <w:spacing w:line="440" w:lineRule="exact"/>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第二十五条</w:t>
            </w:r>
          </w:p>
        </w:tc>
        <w:tc>
          <w:tcPr>
            <w:tcW w:w="1025" w:type="dxa"/>
            <w:vAlign w:val="center"/>
          </w:tcPr>
          <w:p>
            <w:pPr>
              <w:spacing w:line="440" w:lineRule="exact"/>
              <w:ind w:left="140" w:right="-128" w:rightChars="-61" w:hanging="140" w:hangingChars="50"/>
              <w:rPr>
                <w:rFonts w:ascii="仿宋_GB2312" w:hAnsi="宋体" w:eastAsia="仿宋_GB2312"/>
                <w:sz w:val="28"/>
                <w:szCs w:val="28"/>
              </w:rPr>
            </w:pPr>
            <w:r>
              <w:rPr>
                <w:rFonts w:ascii="仿宋_GB2312" w:hAnsi="宋体" w:eastAsia="仿宋_GB2312"/>
                <w:sz w:val="28"/>
                <w:szCs w:val="28"/>
              </w:rPr>
              <w:t>4.2.3</w:t>
            </w:r>
          </w:p>
        </w:tc>
        <w:tc>
          <w:tcPr>
            <w:tcW w:w="6204" w:type="dxa"/>
            <w:gridSpan w:val="5"/>
          </w:tcPr>
          <w:p>
            <w:pPr>
              <w:widowControl/>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rPr>
              <w:t>查看2018版图像存储与传输系统（PACS）产品使用说明书，说明书上注册证编号为：闽械注准20182700085，产品标准编号为：YZB/闽0826－2013；</w:t>
            </w:r>
            <w:r>
              <w:rPr>
                <w:rFonts w:ascii="仿宋_GB2312" w:hAnsi="宋体" w:eastAsia="仿宋_GB2312"/>
                <w:sz w:val="28"/>
                <w:szCs w:val="28"/>
              </w:rPr>
              <w:t>现场</w:t>
            </w:r>
            <w:r>
              <w:rPr>
                <w:rFonts w:hint="eastAsia" w:ascii="仿宋_GB2312" w:hAnsi="宋体" w:eastAsia="仿宋_GB2312"/>
                <w:sz w:val="28"/>
                <w:szCs w:val="28"/>
              </w:rPr>
              <w:t>提供的2012版产品使用说明书未盖有作废盖，两个版本使用说明书都是受控文件。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955" w:type="dxa"/>
            <w:vAlign w:val="center"/>
          </w:tcPr>
          <w:p>
            <w:pPr>
              <w:spacing w:line="440" w:lineRule="exact"/>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第二十七条</w:t>
            </w:r>
          </w:p>
        </w:tc>
        <w:tc>
          <w:tcPr>
            <w:tcW w:w="1025" w:type="dxa"/>
            <w:vAlign w:val="center"/>
          </w:tcPr>
          <w:p>
            <w:pPr>
              <w:spacing w:line="440" w:lineRule="exact"/>
              <w:ind w:left="140" w:right="-128" w:rightChars="-61" w:hanging="140" w:hangingChars="50"/>
              <w:rPr>
                <w:rFonts w:ascii="仿宋_GB2312" w:hAnsi="宋体" w:eastAsia="仿宋_GB2312"/>
                <w:sz w:val="28"/>
                <w:szCs w:val="28"/>
              </w:rPr>
            </w:pPr>
            <w:r>
              <w:rPr>
                <w:rFonts w:ascii="仿宋_GB2312" w:hAnsi="宋体" w:eastAsia="仿宋_GB2312"/>
                <w:sz w:val="28"/>
                <w:szCs w:val="28"/>
              </w:rPr>
              <w:t>4.4.</w:t>
            </w:r>
            <w:r>
              <w:rPr>
                <w:rFonts w:hint="eastAsia" w:ascii="仿宋_GB2312" w:hAnsi="宋体" w:eastAsia="仿宋_GB2312"/>
                <w:sz w:val="28"/>
                <w:szCs w:val="28"/>
              </w:rPr>
              <w:t>5</w:t>
            </w:r>
          </w:p>
        </w:tc>
        <w:tc>
          <w:tcPr>
            <w:tcW w:w="6204" w:type="dxa"/>
            <w:gridSpan w:val="5"/>
          </w:tcPr>
          <w:p>
            <w:pPr>
              <w:widowControl/>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rPr>
              <w:t>查看2012年易联众PACS系统/子系统设计（结构设计）说明及详细设计说明书，未评审产品寿命期；查图像存储与传输系统（PACS）产品使用说明书中注明有效期为：光盘介质自生产之日起5年，未明确产品的寿命期；记录控制程序6.2.1规定：与产品有关的检验记录、生产记录的期限应至少相当于本公司产品的寿命期5年，与企业产品的实际情况不相符。</w:t>
            </w:r>
            <w:r>
              <w:rPr>
                <w:rFonts w:ascii="仿宋_GB2312" w:hAnsi="宋体"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955" w:type="dxa"/>
            <w:vAlign w:val="center"/>
          </w:tcPr>
          <w:p>
            <w:pPr>
              <w:spacing w:line="440" w:lineRule="exact"/>
              <w:ind w:right="-128" w:rightChars="-61"/>
              <w:rPr>
                <w:rFonts w:ascii="仿宋_GB2312" w:hAnsi="宋体" w:eastAsia="仿宋_GB2312"/>
                <w:sz w:val="28"/>
                <w:szCs w:val="28"/>
              </w:rPr>
            </w:pPr>
            <w:r>
              <w:rPr>
                <w:rFonts w:hint="eastAsia" w:ascii="仿宋_GB2312" w:hAnsi="宋体" w:eastAsia="仿宋_GB2312"/>
                <w:sz w:val="28"/>
                <w:szCs w:val="28"/>
              </w:rPr>
              <w:t>第三十二条</w:t>
            </w:r>
          </w:p>
        </w:tc>
        <w:tc>
          <w:tcPr>
            <w:tcW w:w="1025" w:type="dxa"/>
            <w:vAlign w:val="center"/>
          </w:tcPr>
          <w:p>
            <w:pPr>
              <w:spacing w:line="440" w:lineRule="exact"/>
              <w:ind w:right="-128" w:rightChars="-61"/>
              <w:rPr>
                <w:rFonts w:ascii="仿宋_GB2312" w:hAnsi="宋体" w:eastAsia="仿宋_GB2312"/>
                <w:sz w:val="28"/>
                <w:szCs w:val="28"/>
              </w:rPr>
            </w:pPr>
            <w:r>
              <w:rPr>
                <w:rFonts w:ascii="仿宋_GB2312" w:hAnsi="宋体" w:eastAsia="仿宋_GB2312"/>
                <w:sz w:val="28"/>
                <w:szCs w:val="28"/>
              </w:rPr>
              <w:t>5.5.1</w:t>
            </w:r>
          </w:p>
        </w:tc>
        <w:tc>
          <w:tcPr>
            <w:tcW w:w="6204" w:type="dxa"/>
            <w:gridSpan w:val="5"/>
          </w:tcPr>
          <w:p>
            <w:pPr>
              <w:widowControl/>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rPr>
              <w:t>现场未见设计和开发到生产转换活动的资料，如：试生产的批生产记录、检验记录等。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955"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第六十一条</w:t>
            </w:r>
          </w:p>
        </w:tc>
        <w:tc>
          <w:tcPr>
            <w:tcW w:w="1025"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8.6.1</w:t>
            </w:r>
          </w:p>
        </w:tc>
        <w:tc>
          <w:tcPr>
            <w:tcW w:w="6204" w:type="dxa"/>
            <w:gridSpan w:val="5"/>
          </w:tcPr>
          <w:p>
            <w:pPr>
              <w:spacing w:line="400" w:lineRule="exact"/>
              <w:rPr>
                <w:rFonts w:ascii="仿宋_GB2312" w:hAnsi="宋体" w:eastAsia="仿宋_GB2312"/>
                <w:sz w:val="28"/>
                <w:szCs w:val="28"/>
              </w:rPr>
            </w:pPr>
            <w:r>
              <w:rPr>
                <w:rFonts w:hint="eastAsia" w:ascii="仿宋_GB2312" w:hAnsi="宋体" w:eastAsia="仿宋_GB2312"/>
                <w:sz w:val="28"/>
                <w:szCs w:val="28"/>
              </w:rPr>
              <w:t>企业未制定留样管理规定，也未对生产的产品留样。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8755" w:type="dxa"/>
            <w:gridSpan w:val="9"/>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gridSpan w:val="9"/>
            <w:vAlign w:val="center"/>
          </w:tcPr>
          <w:p>
            <w:pPr>
              <w:keepNext w:val="0"/>
              <w:keepLines w:val="0"/>
              <w:widowControl/>
              <w:suppressLineNumbers w:val="0"/>
              <w:ind w:firstLine="280" w:firstLineChars="100"/>
              <w:jc w:val="left"/>
              <w:rPr>
                <w:rFonts w:hint="eastAsia" w:ascii="仿宋" w:hAnsi="仿宋" w:eastAsia="仿宋" w:cs="仿宋"/>
                <w:sz w:val="28"/>
                <w:szCs w:val="28"/>
                <w:lang w:val="en-US" w:eastAsia="zh-CN"/>
              </w:rPr>
            </w:pPr>
            <w:r>
              <w:rPr>
                <w:rFonts w:hint="eastAsia" w:ascii="仿宋_GB2312" w:hAnsi="宋体" w:eastAsia="仿宋_GB2312"/>
                <w:sz w:val="28"/>
                <w:szCs w:val="28"/>
                <w:lang w:val="en-US" w:eastAsia="zh-CN"/>
              </w:rPr>
              <w:t xml:space="preserve">   </w:t>
            </w:r>
            <w:r>
              <w:rPr>
                <w:rFonts w:hint="eastAsia" w:ascii="仿宋_GB2312" w:eastAsia="仿宋_GB2312"/>
                <w:sz w:val="28"/>
                <w:szCs w:val="28"/>
              </w:rPr>
              <w:t>易联众信息技术股份有限公司</w:t>
            </w:r>
            <w:r>
              <w:rPr>
                <w:rFonts w:hint="eastAsia" w:ascii="仿宋" w:hAnsi="仿宋" w:eastAsia="仿宋" w:cs="仿宋"/>
                <w:sz w:val="28"/>
                <w:szCs w:val="28"/>
                <w:lang w:val="en-US" w:eastAsia="zh-CN"/>
              </w:rPr>
              <w:t>生产质量管理体系存在的问题可能影响医疗器械安全有效。根据《医疗器械监督管理条例》第二十五条规定，</w:t>
            </w:r>
            <w:r>
              <w:rPr>
                <w:rFonts w:hint="eastAsia" w:ascii="仿宋_GB2312" w:eastAsia="仿宋_GB2312"/>
                <w:sz w:val="28"/>
                <w:szCs w:val="28"/>
              </w:rPr>
              <w:t>易联众信息技术股份有限公司</w:t>
            </w:r>
            <w:r>
              <w:rPr>
                <w:rFonts w:hint="eastAsia" w:ascii="仿宋" w:hAnsi="仿宋" w:eastAsia="仿宋" w:cs="仿宋"/>
                <w:sz w:val="28"/>
                <w:szCs w:val="28"/>
                <w:lang w:val="en-US" w:eastAsia="zh-CN"/>
              </w:rPr>
              <w:t>应当立即停止生产活动进行整改，并向所在地食品药品</w:t>
            </w:r>
            <w:bookmarkStart w:id="0" w:name="_GoBack"/>
            <w:bookmarkEnd w:id="0"/>
            <w:r>
              <w:rPr>
                <w:rFonts w:hint="eastAsia" w:ascii="仿宋" w:hAnsi="仿宋" w:eastAsia="仿宋" w:cs="仿宋"/>
                <w:sz w:val="28"/>
                <w:szCs w:val="28"/>
                <w:lang w:val="en-US" w:eastAsia="zh-CN"/>
              </w:rPr>
              <w:t>监督管理部门报告。否则，依据《医疗器械监督管理条例》第六十七条规定依法予以处罚。</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厦门市市场监督管理局应督促企业评估产品安全风险，必要时应按照《医疗器械召回管理办法》的规定召回相关产品。</w:t>
            </w:r>
          </w:p>
          <w:p>
            <w:pPr>
              <w:keepNext w:val="0"/>
              <w:keepLines w:val="0"/>
              <w:widowControl/>
              <w:suppressLineNumbers w:val="0"/>
              <w:ind w:firstLine="560" w:firstLineChars="200"/>
              <w:jc w:val="left"/>
              <w:rPr>
                <w:rFonts w:hint="eastAsia" w:ascii="仿宋_GB2312" w:hAnsi="宋体" w:eastAsia="仿宋_GB2312"/>
                <w:sz w:val="28"/>
                <w:szCs w:val="28"/>
              </w:rPr>
            </w:pPr>
            <w:r>
              <w:rPr>
                <w:rFonts w:hint="eastAsia" w:ascii="仿宋" w:hAnsi="仿宋" w:eastAsia="仿宋" w:cs="仿宋"/>
                <w:sz w:val="28"/>
                <w:szCs w:val="28"/>
                <w:lang w:val="en-US" w:eastAsia="zh-CN"/>
              </w:rPr>
              <w:t>企业整改完成后，应经厦门市市场监督管理局现场核实生产质量管理体系有效后，方可恢复生产。厦门市市场监督管理局应将企业恢复生产相关情况及时报送省局医疗器械处。</w:t>
            </w:r>
          </w:p>
        </w:tc>
      </w:tr>
    </w:tbl>
    <w:p>
      <w:pPr>
        <w:widowControl/>
        <w:spacing w:before="100" w:beforeAutospacing="1" w:after="100" w:afterAutospacing="1" w:line="280" w:lineRule="exact"/>
        <w:jc w:val="left"/>
        <w:rPr>
          <w:rFonts w:ascii="仿宋_GB2312" w:hAnsi="仿宋_GB2312" w:eastAsia="仿宋_GB2312" w:cs="仿宋_GB2312"/>
          <w:sz w:val="28"/>
          <w:szCs w:val="28"/>
        </w:rPr>
      </w:pPr>
    </w:p>
    <w:p>
      <w:pPr>
        <w:spacing w:line="500" w:lineRule="exact"/>
        <w:rPr>
          <w:rFonts w:ascii="仿宋" w:eastAsia="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Wingdings 2">
    <w:altName w:val="Webdings"/>
    <w:panose1 w:val="00000000000000000000"/>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36237CB"/>
    <w:rsid w:val="00024F3F"/>
    <w:rsid w:val="000337F7"/>
    <w:rsid w:val="000350BF"/>
    <w:rsid w:val="0005702F"/>
    <w:rsid w:val="000610F8"/>
    <w:rsid w:val="00064C15"/>
    <w:rsid w:val="00097F2C"/>
    <w:rsid w:val="000B5BF7"/>
    <w:rsid w:val="000B77B3"/>
    <w:rsid w:val="00100FF0"/>
    <w:rsid w:val="00141BAB"/>
    <w:rsid w:val="001446AC"/>
    <w:rsid w:val="001525CB"/>
    <w:rsid w:val="001651B4"/>
    <w:rsid w:val="00175990"/>
    <w:rsid w:val="001A4592"/>
    <w:rsid w:val="002425E3"/>
    <w:rsid w:val="00251839"/>
    <w:rsid w:val="002665C6"/>
    <w:rsid w:val="002B55D5"/>
    <w:rsid w:val="002C246D"/>
    <w:rsid w:val="002D0680"/>
    <w:rsid w:val="002E656D"/>
    <w:rsid w:val="0030449F"/>
    <w:rsid w:val="0031094D"/>
    <w:rsid w:val="003306DD"/>
    <w:rsid w:val="003401C6"/>
    <w:rsid w:val="00346476"/>
    <w:rsid w:val="003806C1"/>
    <w:rsid w:val="003A3CE1"/>
    <w:rsid w:val="003B665C"/>
    <w:rsid w:val="003C5A29"/>
    <w:rsid w:val="003C665B"/>
    <w:rsid w:val="00412A43"/>
    <w:rsid w:val="004323F7"/>
    <w:rsid w:val="00446DB0"/>
    <w:rsid w:val="00446FE8"/>
    <w:rsid w:val="00450BF6"/>
    <w:rsid w:val="00451641"/>
    <w:rsid w:val="004648E9"/>
    <w:rsid w:val="004A0C04"/>
    <w:rsid w:val="004C4DB3"/>
    <w:rsid w:val="005036F0"/>
    <w:rsid w:val="00541837"/>
    <w:rsid w:val="00542CF5"/>
    <w:rsid w:val="00555DD6"/>
    <w:rsid w:val="00582E38"/>
    <w:rsid w:val="00594456"/>
    <w:rsid w:val="005F38DA"/>
    <w:rsid w:val="005F3E90"/>
    <w:rsid w:val="00602D12"/>
    <w:rsid w:val="00634F0C"/>
    <w:rsid w:val="00656DBE"/>
    <w:rsid w:val="00755365"/>
    <w:rsid w:val="007745EE"/>
    <w:rsid w:val="00794036"/>
    <w:rsid w:val="0079737A"/>
    <w:rsid w:val="007A1898"/>
    <w:rsid w:val="007D3E45"/>
    <w:rsid w:val="007E0AC9"/>
    <w:rsid w:val="007E5B62"/>
    <w:rsid w:val="007E77ED"/>
    <w:rsid w:val="008013D8"/>
    <w:rsid w:val="008201D8"/>
    <w:rsid w:val="008408AE"/>
    <w:rsid w:val="008547F1"/>
    <w:rsid w:val="00881EF0"/>
    <w:rsid w:val="008C19F0"/>
    <w:rsid w:val="008D7794"/>
    <w:rsid w:val="008E3927"/>
    <w:rsid w:val="008E754A"/>
    <w:rsid w:val="00934F2E"/>
    <w:rsid w:val="009367CD"/>
    <w:rsid w:val="00957F91"/>
    <w:rsid w:val="00961196"/>
    <w:rsid w:val="009724F9"/>
    <w:rsid w:val="00985CD0"/>
    <w:rsid w:val="009D5822"/>
    <w:rsid w:val="00A0589F"/>
    <w:rsid w:val="00A20EAB"/>
    <w:rsid w:val="00A50D14"/>
    <w:rsid w:val="00A53A7E"/>
    <w:rsid w:val="00A61DAB"/>
    <w:rsid w:val="00AF5941"/>
    <w:rsid w:val="00B21FDE"/>
    <w:rsid w:val="00B27297"/>
    <w:rsid w:val="00B52FD4"/>
    <w:rsid w:val="00B962B7"/>
    <w:rsid w:val="00BC4D52"/>
    <w:rsid w:val="00BF372C"/>
    <w:rsid w:val="00C05663"/>
    <w:rsid w:val="00C12D2E"/>
    <w:rsid w:val="00C14C55"/>
    <w:rsid w:val="00C66F90"/>
    <w:rsid w:val="00CB1182"/>
    <w:rsid w:val="00CD1BF2"/>
    <w:rsid w:val="00CE12AB"/>
    <w:rsid w:val="00CE1D01"/>
    <w:rsid w:val="00D22B4B"/>
    <w:rsid w:val="00D42D6F"/>
    <w:rsid w:val="00D44909"/>
    <w:rsid w:val="00D53DBC"/>
    <w:rsid w:val="00D73100"/>
    <w:rsid w:val="00D74008"/>
    <w:rsid w:val="00D74476"/>
    <w:rsid w:val="00D74C68"/>
    <w:rsid w:val="00D937F8"/>
    <w:rsid w:val="00D95D60"/>
    <w:rsid w:val="00DC204B"/>
    <w:rsid w:val="00E07841"/>
    <w:rsid w:val="00E52558"/>
    <w:rsid w:val="00F101B2"/>
    <w:rsid w:val="00F20E63"/>
    <w:rsid w:val="00F54664"/>
    <w:rsid w:val="00F6124D"/>
    <w:rsid w:val="00FD428D"/>
    <w:rsid w:val="03A953D1"/>
    <w:rsid w:val="05E668E6"/>
    <w:rsid w:val="06F93970"/>
    <w:rsid w:val="0A204B50"/>
    <w:rsid w:val="0C1542DE"/>
    <w:rsid w:val="153132DD"/>
    <w:rsid w:val="15333B7D"/>
    <w:rsid w:val="16E27477"/>
    <w:rsid w:val="24EA7DE4"/>
    <w:rsid w:val="293811C2"/>
    <w:rsid w:val="3A221A48"/>
    <w:rsid w:val="408527BB"/>
    <w:rsid w:val="433C174C"/>
    <w:rsid w:val="436237CB"/>
    <w:rsid w:val="466E7352"/>
    <w:rsid w:val="47967063"/>
    <w:rsid w:val="4ADC21F2"/>
    <w:rsid w:val="5D3C4433"/>
    <w:rsid w:val="62D408E1"/>
    <w:rsid w:val="74DB0D19"/>
    <w:rsid w:val="752D5B75"/>
    <w:rsid w:val="7CBB4E7C"/>
    <w:rsid w:val="7E120BE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B76DD-A5FA-46B0-B1BE-D94B3C5873E0}">
  <ds:schemaRefs/>
</ds:datastoreItem>
</file>

<file path=docProps/app.xml><?xml version="1.0" encoding="utf-8"?>
<Properties xmlns="http://schemas.openxmlformats.org/officeDocument/2006/extended-properties" xmlns:vt="http://schemas.openxmlformats.org/officeDocument/2006/docPropsVTypes">
  <Template>Normal</Template>
  <Pages>5</Pages>
  <Words>1926</Words>
  <Characters>645</Characters>
  <Lines>5</Lines>
  <Paragraphs>5</Paragraphs>
  <ScaleCrop>false</ScaleCrop>
  <LinksUpToDate>false</LinksUpToDate>
  <CharactersWithSpaces>2566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2007-05-06T12:18:00Z</dcterms:created>
  <dc:creator>lenovo</dc:creator>
  <cp:lastModifiedBy>lenovo</cp:lastModifiedBy>
  <cp:lastPrinted>2018-08-07T07:29:00Z</cp:lastPrinted>
  <dcterms:modified xsi:type="dcterms:W3CDTF">2018-08-13T08:47:09Z</dcterms:modified>
  <dc:title>医疗器械现场监督检查工作规程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