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sz w:val="44"/>
          <w:szCs w:val="44"/>
        </w:rPr>
      </w:pPr>
      <w:r>
        <w:rPr>
          <w:rFonts w:hint="eastAsia" w:ascii="仿宋_GB2312" w:hAnsi="宋体" w:eastAsia="仿宋_GB2312"/>
          <w:b/>
          <w:bCs w:val="0"/>
          <w:sz w:val="36"/>
          <w:szCs w:val="36"/>
          <w:lang w:val="en-US" w:eastAsia="zh-CN"/>
        </w:rPr>
        <w:t>对厦门康勃医疗科技有限公司双随机检查通报</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813"/>
        <w:gridCol w:w="1167"/>
        <w:gridCol w:w="1650"/>
        <w:gridCol w:w="870"/>
        <w:gridCol w:w="15"/>
        <w:gridCol w:w="163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企业名称</w:t>
            </w:r>
          </w:p>
        </w:tc>
        <w:tc>
          <w:tcPr>
            <w:tcW w:w="2520" w:type="dxa"/>
            <w:gridSpan w:val="2"/>
            <w:vAlign w:val="center"/>
          </w:tcPr>
          <w:p>
            <w:pPr>
              <w:spacing w:line="440" w:lineRule="exact"/>
              <w:rPr>
                <w:szCs w:val="24"/>
              </w:rPr>
            </w:pPr>
            <w:r>
              <w:rPr>
                <w:rFonts w:hint="eastAsia" w:ascii="仿宋_GB2312" w:eastAsia="仿宋_GB2312"/>
                <w:sz w:val="28"/>
                <w:szCs w:val="28"/>
              </w:rPr>
              <w:t>厦门康勃医疗科技有限公司</w:t>
            </w:r>
          </w:p>
        </w:tc>
        <w:tc>
          <w:tcPr>
            <w:tcW w:w="1650" w:type="dxa"/>
            <w:gridSpan w:val="2"/>
            <w:vAlign w:val="center"/>
          </w:tcPr>
          <w:p>
            <w:pPr>
              <w:spacing w:line="440" w:lineRule="exact"/>
              <w:jc w:val="center"/>
              <w:rPr>
                <w:szCs w:val="24"/>
              </w:rPr>
            </w:pPr>
            <w:r>
              <w:rPr>
                <w:rFonts w:hint="eastAsia" w:ascii="仿宋_GB2312" w:eastAsia="仿宋_GB2312"/>
                <w:sz w:val="28"/>
                <w:szCs w:val="28"/>
              </w:rPr>
              <w:t>法定代表人</w:t>
            </w:r>
          </w:p>
        </w:tc>
        <w:tc>
          <w:tcPr>
            <w:tcW w:w="2034" w:type="dxa"/>
            <w:vAlign w:val="center"/>
          </w:tcPr>
          <w:p>
            <w:pPr>
              <w:spacing w:line="440" w:lineRule="exact"/>
              <w:jc w:val="center"/>
              <w:rPr>
                <w:szCs w:val="24"/>
              </w:rPr>
            </w:pPr>
            <w:r>
              <w:rPr>
                <w:rFonts w:hint="eastAsia" w:ascii="仿宋_GB2312" w:eastAsia="仿宋_GB2312"/>
                <w:sz w:val="28"/>
                <w:szCs w:val="28"/>
              </w:rPr>
              <w:t>林志鑫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551" w:type="dxa"/>
            <w:gridSpan w:val="4"/>
            <w:vAlign w:val="center"/>
          </w:tcPr>
          <w:p>
            <w:pPr>
              <w:spacing w:line="440" w:lineRule="exact"/>
              <w:jc w:val="center"/>
              <w:rPr>
                <w:rFonts w:ascii="仿宋_GB2312" w:eastAsia="仿宋_GB2312"/>
                <w:sz w:val="28"/>
                <w:szCs w:val="28"/>
              </w:rPr>
            </w:pPr>
            <w:r>
              <w:rPr>
                <w:rFonts w:hint="eastAsia" w:ascii="仿宋_GB2312" w:eastAsia="仿宋_GB2312"/>
                <w:sz w:val="28"/>
                <w:szCs w:val="28"/>
              </w:rPr>
              <w:t>企业负责人</w:t>
            </w:r>
          </w:p>
        </w:tc>
        <w:tc>
          <w:tcPr>
            <w:tcW w:w="1650"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林志鑫</w:t>
            </w:r>
          </w:p>
        </w:tc>
        <w:tc>
          <w:tcPr>
            <w:tcW w:w="885" w:type="dxa"/>
            <w:gridSpan w:val="2"/>
            <w:vAlign w:val="center"/>
          </w:tcPr>
          <w:p>
            <w:pPr>
              <w:spacing w:line="440" w:lineRule="exact"/>
              <w:jc w:val="center"/>
              <w:rPr>
                <w:szCs w:val="24"/>
              </w:rPr>
            </w:pPr>
            <w:r>
              <w:rPr>
                <w:rFonts w:hint="eastAsia" w:ascii="仿宋_GB2312" w:eastAsia="仿宋_GB2312"/>
                <w:sz w:val="28"/>
                <w:szCs w:val="28"/>
              </w:rPr>
              <w:t>电话</w:t>
            </w:r>
          </w:p>
        </w:tc>
        <w:tc>
          <w:tcPr>
            <w:tcW w:w="3669" w:type="dxa"/>
            <w:gridSpan w:val="2"/>
            <w:vAlign w:val="center"/>
          </w:tcPr>
          <w:p>
            <w:pPr>
              <w:spacing w:line="440" w:lineRule="exact"/>
              <w:rPr>
                <w:rFonts w:hint="eastAsia" w:eastAsiaTheme="minorEastAsia"/>
                <w:szCs w:val="24"/>
                <w:lang w:eastAsia="zh-CN"/>
              </w:rPr>
            </w:pP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gridSpan w:val="4"/>
            <w:vAlign w:val="center"/>
          </w:tcPr>
          <w:p>
            <w:pPr>
              <w:spacing w:line="440" w:lineRule="exact"/>
              <w:jc w:val="center"/>
              <w:rPr>
                <w:rFonts w:ascii="仿宋_GB2312" w:eastAsia="仿宋_GB2312"/>
                <w:sz w:val="28"/>
                <w:szCs w:val="28"/>
              </w:rPr>
            </w:pPr>
            <w:r>
              <w:rPr>
                <w:rFonts w:hint="eastAsia" w:ascii="仿宋_GB2312" w:eastAsia="仿宋_GB2312"/>
                <w:sz w:val="28"/>
                <w:szCs w:val="28"/>
              </w:rPr>
              <w:t>管理者代表</w:t>
            </w:r>
          </w:p>
        </w:tc>
        <w:tc>
          <w:tcPr>
            <w:tcW w:w="1650" w:type="dxa"/>
            <w:vAlign w:val="center"/>
          </w:tcPr>
          <w:p>
            <w:pPr>
              <w:spacing w:line="440" w:lineRule="exact"/>
              <w:jc w:val="center"/>
              <w:rPr>
                <w:szCs w:val="24"/>
              </w:rPr>
            </w:pPr>
            <w:r>
              <w:rPr>
                <w:rFonts w:hint="eastAsia" w:ascii="仿宋_GB2312" w:eastAsia="仿宋_GB2312"/>
                <w:sz w:val="28"/>
                <w:szCs w:val="28"/>
              </w:rPr>
              <w:t>杨彬钜</w:t>
            </w:r>
          </w:p>
        </w:tc>
        <w:tc>
          <w:tcPr>
            <w:tcW w:w="885" w:type="dxa"/>
            <w:gridSpan w:val="2"/>
            <w:vAlign w:val="center"/>
          </w:tcPr>
          <w:p>
            <w:pPr>
              <w:spacing w:line="440" w:lineRule="exact"/>
              <w:jc w:val="center"/>
              <w:rPr>
                <w:szCs w:val="24"/>
              </w:rPr>
            </w:pPr>
            <w:r>
              <w:rPr>
                <w:rFonts w:hint="eastAsia" w:ascii="仿宋_GB2312" w:eastAsia="仿宋_GB2312"/>
                <w:sz w:val="28"/>
                <w:szCs w:val="28"/>
              </w:rPr>
              <w:t>电话</w:t>
            </w:r>
          </w:p>
        </w:tc>
        <w:tc>
          <w:tcPr>
            <w:tcW w:w="3669" w:type="dxa"/>
            <w:gridSpan w:val="2"/>
            <w:vAlign w:val="center"/>
          </w:tcPr>
          <w:p>
            <w:pPr>
              <w:spacing w:line="440" w:lineRule="exact"/>
              <w:rPr>
                <w:rFonts w:hint="eastAsia" w:eastAsiaTheme="minorEastAsia"/>
                <w:szCs w:val="24"/>
                <w:lang w:eastAsia="zh-CN"/>
              </w:rPr>
            </w:pP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注册地址</w:t>
            </w:r>
          </w:p>
        </w:tc>
        <w:tc>
          <w:tcPr>
            <w:tcW w:w="6204" w:type="dxa"/>
            <w:gridSpan w:val="5"/>
          </w:tcPr>
          <w:p>
            <w:pPr>
              <w:spacing w:line="440" w:lineRule="exact"/>
              <w:rPr>
                <w:szCs w:val="24"/>
              </w:rPr>
            </w:pPr>
            <w:r>
              <w:rPr>
                <w:rFonts w:hint="eastAsia" w:ascii="仿宋_GB2312" w:eastAsia="仿宋_GB2312"/>
                <w:sz w:val="28"/>
                <w:szCs w:val="28"/>
              </w:rPr>
              <w:t>厦门市火炬高新区（翔安）翔虹路16号301单元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生产地址</w:t>
            </w:r>
          </w:p>
        </w:tc>
        <w:tc>
          <w:tcPr>
            <w:tcW w:w="6204" w:type="dxa"/>
            <w:gridSpan w:val="5"/>
          </w:tcPr>
          <w:p>
            <w:pPr>
              <w:spacing w:line="440" w:lineRule="exact"/>
              <w:rPr>
                <w:szCs w:val="24"/>
              </w:rPr>
            </w:pPr>
            <w:r>
              <w:rPr>
                <w:rFonts w:hint="eastAsia" w:ascii="仿宋_GB2312" w:eastAsia="仿宋_GB2312"/>
                <w:sz w:val="28"/>
                <w:szCs w:val="28"/>
              </w:rPr>
              <w:t>厦门市火炬高新区（翔安）翔虹路16号301单元，201单元，101单元，302单元及102单元001室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检查日期</w:t>
            </w:r>
          </w:p>
        </w:tc>
        <w:tc>
          <w:tcPr>
            <w:tcW w:w="6204" w:type="dxa"/>
            <w:gridSpan w:val="5"/>
          </w:tcPr>
          <w:p>
            <w:pPr>
              <w:spacing w:line="440" w:lineRule="exact"/>
              <w:rPr>
                <w:szCs w:val="24"/>
              </w:rPr>
            </w:pPr>
            <w:r>
              <w:rPr>
                <w:rFonts w:ascii="仿宋_GB2312" w:eastAsia="仿宋_GB2312"/>
                <w:sz w:val="28"/>
                <w:szCs w:val="28"/>
              </w:rPr>
              <w:t>2018</w:t>
            </w:r>
            <w:r>
              <w:rPr>
                <w:rFonts w:hint="eastAsia" w:ascii="仿宋_GB2312" w:eastAsia="仿宋_GB2312"/>
                <w:sz w:val="28"/>
                <w:szCs w:val="28"/>
              </w:rPr>
              <w:t>年7月9日-2018年7月10日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产品类别</w:t>
            </w:r>
          </w:p>
        </w:tc>
        <w:tc>
          <w:tcPr>
            <w:tcW w:w="6204" w:type="dxa"/>
            <w:gridSpan w:val="5"/>
          </w:tcPr>
          <w:p>
            <w:pPr>
              <w:spacing w:line="440" w:lineRule="exact"/>
              <w:rPr>
                <w:szCs w:val="24"/>
              </w:rPr>
            </w:pPr>
            <w:r>
              <w:rPr>
                <w:rFonts w:hint="eastAsia" w:ascii="仿宋_GB2312" w:hAnsi="仿宋_GB2312" w:eastAsia="仿宋_GB2312" w:cs="仿宋_GB2312"/>
                <w:sz w:val="24"/>
                <w:szCs w:val="24"/>
              </w:rPr>
              <w:t>√</w:t>
            </w:r>
            <w:r>
              <w:rPr>
                <w:rFonts w:hint="eastAsia" w:ascii="仿宋_GB2312" w:hAnsi="宋体" w:eastAsia="仿宋_GB2312"/>
                <w:bCs/>
                <w:sz w:val="28"/>
                <w:szCs w:val="28"/>
              </w:rPr>
              <w:t xml:space="preserve">无菌医疗器械  □植入性医疗器械 □体外诊断试剂   □定制式义齿    □其他医疗器械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551" w:type="dxa"/>
            <w:gridSpan w:val="4"/>
            <w:vAlign w:val="center"/>
          </w:tcPr>
          <w:p>
            <w:pPr>
              <w:spacing w:line="440" w:lineRule="exact"/>
              <w:jc w:val="center"/>
              <w:rPr>
                <w:rFonts w:ascii="仿宋_GB2312" w:eastAsia="仿宋_GB2312"/>
                <w:sz w:val="28"/>
                <w:szCs w:val="28"/>
              </w:rPr>
            </w:pPr>
            <w:r>
              <w:rPr>
                <w:rFonts w:hint="eastAsia" w:ascii="仿宋_GB2312" w:eastAsia="仿宋_GB2312"/>
                <w:sz w:val="28"/>
                <w:szCs w:val="28"/>
              </w:rPr>
              <w:t>抽查产品</w:t>
            </w:r>
          </w:p>
          <w:p>
            <w:pPr>
              <w:spacing w:line="440" w:lineRule="exact"/>
              <w:jc w:val="center"/>
              <w:rPr>
                <w:szCs w:val="24"/>
              </w:rPr>
            </w:pPr>
            <w:r>
              <w:rPr>
                <w:rFonts w:hint="eastAsia" w:ascii="仿宋_GB2312" w:eastAsia="仿宋_GB2312"/>
                <w:sz w:val="28"/>
                <w:szCs w:val="28"/>
              </w:rPr>
              <w:t>名称</w:t>
            </w:r>
          </w:p>
        </w:tc>
        <w:tc>
          <w:tcPr>
            <w:tcW w:w="6204" w:type="dxa"/>
            <w:gridSpan w:val="5"/>
            <w:vAlign w:val="center"/>
          </w:tcPr>
          <w:p>
            <w:pPr>
              <w:spacing w:line="440" w:lineRule="exact"/>
              <w:jc w:val="center"/>
              <w:rPr>
                <w:szCs w:val="24"/>
              </w:rPr>
            </w:pPr>
            <w:r>
              <w:rPr>
                <w:rFonts w:hint="eastAsia" w:ascii="仿宋_GB2312" w:eastAsia="仿宋_GB2312"/>
                <w:sz w:val="28"/>
                <w:szCs w:val="28"/>
              </w:rPr>
              <w:t>一次性使用吸氧面罩、一次性使用呼吸过滤器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gridSpan w:val="4"/>
            <w:vAlign w:val="center"/>
          </w:tcPr>
          <w:p>
            <w:pPr>
              <w:spacing w:line="440" w:lineRule="exact"/>
              <w:jc w:val="center"/>
              <w:rPr>
                <w:szCs w:val="24"/>
              </w:rPr>
            </w:pPr>
            <w:r>
              <w:rPr>
                <w:rFonts w:hint="eastAsia" w:ascii="仿宋_GB2312" w:eastAsia="仿宋_GB2312"/>
                <w:sz w:val="28"/>
                <w:szCs w:val="28"/>
              </w:rPr>
              <w:t>检查目的和范围</w:t>
            </w:r>
          </w:p>
        </w:tc>
        <w:tc>
          <w:tcPr>
            <w:tcW w:w="6204" w:type="dxa"/>
            <w:gridSpan w:val="5"/>
          </w:tcPr>
          <w:p>
            <w:pPr>
              <w:spacing w:line="440" w:lineRule="exact"/>
              <w:rPr>
                <w:szCs w:val="24"/>
              </w:rPr>
            </w:pPr>
            <w:r>
              <w:rPr>
                <w:rFonts w:hint="eastAsia" w:ascii="仿宋_GB2312" w:eastAsia="仿宋_GB2312"/>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检查依据</w:t>
            </w:r>
          </w:p>
        </w:tc>
        <w:tc>
          <w:tcPr>
            <w:tcW w:w="6204" w:type="dxa"/>
            <w:gridSpan w:val="5"/>
          </w:tcPr>
          <w:p>
            <w:pPr>
              <w:spacing w:line="440" w:lineRule="exact"/>
              <w:rPr>
                <w:rFonts w:ascii="仿宋_GB2312" w:eastAsia="仿宋_GB2312"/>
                <w:sz w:val="28"/>
                <w:szCs w:val="28"/>
              </w:rPr>
            </w:pPr>
            <w:r>
              <w:rPr>
                <w:rFonts w:hint="eastAsia" w:ascii="仿宋_GB2312" w:hAnsi="仿宋_GB2312" w:eastAsia="仿宋_GB2312" w:cs="仿宋_GB2312"/>
                <w:sz w:val="24"/>
                <w:szCs w:val="24"/>
              </w:rPr>
              <w:t>√</w:t>
            </w:r>
            <w:r>
              <w:rPr>
                <w:rFonts w:hint="eastAsia" w:ascii="仿宋_GB2312" w:eastAsia="仿宋_GB2312"/>
                <w:sz w:val="28"/>
                <w:szCs w:val="28"/>
              </w:rPr>
              <w:t>医疗器械生产质量管理规范（GMP）</w:t>
            </w:r>
          </w:p>
          <w:p>
            <w:pPr>
              <w:spacing w:line="440" w:lineRule="exact"/>
              <w:rPr>
                <w:rFonts w:ascii="仿宋_GB2312" w:eastAsia="仿宋_GB2312"/>
                <w:sz w:val="28"/>
                <w:szCs w:val="28"/>
              </w:rPr>
            </w:pPr>
            <w:r>
              <w:rPr>
                <w:rFonts w:hint="eastAsia" w:ascii="仿宋_GB2312" w:hAnsi="仿宋_GB2312" w:eastAsia="仿宋_GB2312" w:cs="仿宋_GB2312"/>
                <w:sz w:val="24"/>
                <w:szCs w:val="24"/>
              </w:rPr>
              <w:t>√</w:t>
            </w:r>
            <w:r>
              <w:rPr>
                <w:rFonts w:hint="eastAsia" w:ascii="仿宋_GB2312" w:eastAsia="仿宋_GB2312"/>
                <w:sz w:val="28"/>
                <w:szCs w:val="28"/>
              </w:rPr>
              <w:t>医疗器械GMP附录及指导原则无菌医疗器械部分</w:t>
            </w:r>
          </w:p>
          <w:p>
            <w:pPr>
              <w:spacing w:line="440" w:lineRule="exact"/>
              <w:rPr>
                <w:rFonts w:ascii="仿宋_GB2312" w:eastAsia="仿宋_GB2312"/>
                <w:sz w:val="28"/>
                <w:szCs w:val="28"/>
              </w:rPr>
            </w:pPr>
            <w:r>
              <w:rPr>
                <w:rFonts w:hint="eastAsia" w:ascii="仿宋_GB2312" w:eastAsia="仿宋_GB2312"/>
                <w:sz w:val="28"/>
                <w:szCs w:val="28"/>
              </w:rPr>
              <w:t>□医疗器械GMP附录及指导原则植入性医疗器械部分</w:t>
            </w:r>
          </w:p>
          <w:p>
            <w:pPr>
              <w:spacing w:line="440" w:lineRule="exact"/>
              <w:rPr>
                <w:rFonts w:ascii="仿宋_GB2312" w:eastAsia="仿宋_GB2312"/>
                <w:sz w:val="28"/>
                <w:szCs w:val="28"/>
              </w:rPr>
            </w:pPr>
            <w:r>
              <w:rPr>
                <w:rFonts w:hint="eastAsia" w:ascii="仿宋_GB2312" w:eastAsia="仿宋_GB2312"/>
                <w:sz w:val="28"/>
                <w:szCs w:val="28"/>
              </w:rPr>
              <w:t>□医疗器械GMP附录及指导原则体外诊断试剂部分</w:t>
            </w:r>
          </w:p>
          <w:p>
            <w:pPr>
              <w:spacing w:line="440" w:lineRule="exact"/>
              <w:rPr>
                <w:szCs w:val="24"/>
              </w:rPr>
            </w:pPr>
            <w:r>
              <w:rPr>
                <w:rFonts w:hint="eastAsia" w:ascii="仿宋_GB2312" w:eastAsia="仿宋_GB2312"/>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声   明</w:t>
            </w:r>
          </w:p>
        </w:tc>
        <w:tc>
          <w:tcPr>
            <w:tcW w:w="6204" w:type="dxa"/>
            <w:gridSpan w:val="5"/>
          </w:tcPr>
          <w:p>
            <w:pPr>
              <w:snapToGrid w:val="0"/>
              <w:spacing w:line="440" w:lineRule="exact"/>
              <w:jc w:val="center"/>
              <w:rPr>
                <w:rFonts w:ascii="仿宋_GB2312" w:eastAsia="仿宋_GB2312"/>
                <w:sz w:val="28"/>
                <w:szCs w:val="28"/>
              </w:rPr>
            </w:pPr>
            <w:r>
              <w:rPr>
                <w:rFonts w:hint="eastAsia" w:ascii="仿宋_GB2312" w:eastAsia="仿宋_GB2312"/>
                <w:sz w:val="28"/>
                <w:szCs w:val="28"/>
              </w:rPr>
              <w:t>主要缺陷和问题及其判定依据</w:t>
            </w:r>
          </w:p>
          <w:p>
            <w:pPr>
              <w:spacing w:line="440" w:lineRule="exact"/>
              <w:rPr>
                <w:rFonts w:ascii="仿宋_GB2312" w:hAnsi="宋体" w:eastAsia="仿宋_GB2312"/>
                <w:sz w:val="28"/>
                <w:szCs w:val="28"/>
              </w:rPr>
            </w:pPr>
            <w:r>
              <w:rPr>
                <w:rFonts w:hint="eastAsia" w:ascii="仿宋_GB2312" w:hAnsi="宋体" w:eastAsia="仿宋_GB2312"/>
                <w:sz w:val="28"/>
                <w:szCs w:val="28"/>
              </w:rPr>
              <w:t>本表中所列出的缺陷和问题，只是本次发现，不代表企业缺陷和问题的全部。建立与本企业生产产品特点相适应的质量管理体系并保持其有效运行，是医疗器械生产企业的法定责任。</w:t>
            </w:r>
          </w:p>
          <w:p>
            <w:pPr>
              <w:spacing w:line="44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00" w:lineRule="exact"/>
              <w:ind w:left="-2" w:leftChars="-65" w:right="-128" w:rightChars="-61" w:hanging="134" w:hangingChars="64"/>
              <w:jc w:val="center"/>
              <w:rPr>
                <w:szCs w:val="24"/>
              </w:rPr>
            </w:pPr>
          </w:p>
        </w:tc>
        <w:tc>
          <w:tcPr>
            <w:tcW w:w="1995" w:type="dxa"/>
            <w:gridSpan w:val="3"/>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依据条款</w:t>
            </w:r>
          </w:p>
        </w:tc>
        <w:tc>
          <w:tcPr>
            <w:tcW w:w="6204" w:type="dxa"/>
            <w:gridSpan w:val="5"/>
            <w:vMerge w:val="restart"/>
            <w:vAlign w:val="center"/>
          </w:tcPr>
          <w:p>
            <w:pPr>
              <w:spacing w:line="520" w:lineRule="exact"/>
              <w:jc w:val="center"/>
              <w:rPr>
                <w:szCs w:val="24"/>
              </w:rPr>
            </w:pPr>
            <w:r>
              <w:rPr>
                <w:rFonts w:hint="eastAsia" w:ascii="仿宋_GB2312" w:hAnsi="宋体" w:eastAsia="仿宋_GB2312"/>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56" w:type="dxa"/>
            <w:vMerge w:val="continue"/>
            <w:vAlign w:val="center"/>
          </w:tcPr>
          <w:p>
            <w:pPr>
              <w:spacing w:line="400" w:lineRule="exact"/>
              <w:ind w:left="43" w:leftChars="-65" w:right="-128" w:rightChars="-61" w:hanging="179" w:hangingChars="64"/>
              <w:jc w:val="center"/>
              <w:rPr>
                <w:rFonts w:ascii="仿宋_GB2312" w:hAnsi="宋体" w:eastAsia="仿宋_GB2312"/>
                <w:sz w:val="28"/>
                <w:szCs w:val="28"/>
              </w:rPr>
            </w:pPr>
          </w:p>
        </w:tc>
        <w:tc>
          <w:tcPr>
            <w:tcW w:w="828" w:type="dxa"/>
            <w:gridSpan w:val="2"/>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规范</w:t>
            </w:r>
          </w:p>
        </w:tc>
        <w:tc>
          <w:tcPr>
            <w:tcW w:w="1167" w:type="dxa"/>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指导原则</w:t>
            </w:r>
          </w:p>
        </w:tc>
        <w:tc>
          <w:tcPr>
            <w:tcW w:w="6204" w:type="dxa"/>
            <w:gridSpan w:val="5"/>
            <w:vMerge w:val="continue"/>
            <w:vAlign w:val="center"/>
          </w:tcPr>
          <w:p>
            <w:pPr>
              <w:spacing w:line="5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71" w:type="dxa"/>
            <w:gridSpan w:val="2"/>
            <w:vAlign w:val="center"/>
          </w:tcPr>
          <w:p>
            <w:pPr>
              <w:spacing w:line="400" w:lineRule="exact"/>
              <w:ind w:right="-128" w:rightChars="-61"/>
              <w:rPr>
                <w:rFonts w:ascii="仿宋_GB2312" w:hAnsi="宋体" w:eastAsia="仿宋_GB2312"/>
                <w:b/>
                <w:bCs/>
                <w:sz w:val="28"/>
                <w:szCs w:val="28"/>
              </w:rPr>
            </w:pPr>
            <w:r>
              <w:rPr>
                <w:rFonts w:hint="eastAsia" w:ascii="仿宋_GB2312" w:hAnsi="宋体" w:eastAsia="仿宋_GB2312"/>
                <w:b/>
                <w:bCs/>
                <w:sz w:val="28"/>
                <w:szCs w:val="28"/>
              </w:rPr>
              <w:t>关</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键</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项</w:t>
            </w:r>
          </w:p>
          <w:p>
            <w:pPr>
              <w:spacing w:line="400" w:lineRule="exact"/>
              <w:ind w:left="44" w:leftChars="-65" w:right="-128" w:rightChars="-61" w:hanging="180" w:hangingChars="64"/>
              <w:jc w:val="center"/>
              <w:rPr>
                <w:rFonts w:ascii="仿宋_GB2312" w:hAnsi="宋体" w:eastAsia="仿宋_GB2312"/>
                <w:sz w:val="28"/>
                <w:szCs w:val="28"/>
              </w:rPr>
            </w:pPr>
            <w:r>
              <w:rPr>
                <w:rFonts w:hint="eastAsia" w:ascii="仿宋_GB2312" w:hAnsi="宋体" w:eastAsia="仿宋_GB2312"/>
                <w:b/>
                <w:bCs/>
                <w:sz w:val="28"/>
                <w:szCs w:val="28"/>
              </w:rPr>
              <w:t>目</w:t>
            </w:r>
          </w:p>
        </w:tc>
        <w:tc>
          <w:tcPr>
            <w:tcW w:w="813" w:type="dxa"/>
            <w:vAlign w:val="center"/>
          </w:tcPr>
          <w:p>
            <w:pPr>
              <w:spacing w:line="400" w:lineRule="exact"/>
              <w:ind w:right="-128" w:rightChars="-61"/>
              <w:rPr>
                <w:rFonts w:ascii="仿宋_GB2312" w:hAnsi="宋体" w:eastAsia="仿宋_GB2312"/>
                <w:sz w:val="28"/>
                <w:szCs w:val="28"/>
              </w:rPr>
            </w:pPr>
          </w:p>
        </w:tc>
        <w:tc>
          <w:tcPr>
            <w:tcW w:w="1167" w:type="dxa"/>
            <w:vAlign w:val="center"/>
          </w:tcPr>
          <w:p>
            <w:pPr>
              <w:spacing w:line="400" w:lineRule="exact"/>
              <w:ind w:right="-128" w:rightChars="-61"/>
              <w:rPr>
                <w:rFonts w:ascii="仿宋_GB2312" w:hAnsi="宋体" w:eastAsia="仿宋_GB2312"/>
                <w:sz w:val="28"/>
                <w:szCs w:val="28"/>
              </w:rPr>
            </w:pPr>
          </w:p>
        </w:tc>
        <w:tc>
          <w:tcPr>
            <w:tcW w:w="6204" w:type="dxa"/>
            <w:gridSpan w:val="5"/>
          </w:tcPr>
          <w:p>
            <w:pPr>
              <w:rPr>
                <w:szCs w:val="24"/>
              </w:rPr>
            </w:pPr>
          </w:p>
          <w:p>
            <w:pPr>
              <w:spacing w:line="520" w:lineRule="exact"/>
              <w:rPr>
                <w:szCs w:val="24"/>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一</w:t>
            </w:r>
          </w:p>
          <w:p>
            <w:pPr>
              <w:jc w:val="center"/>
              <w:rPr>
                <w:rFonts w:ascii="仿宋_GB2312" w:hAnsi="宋体" w:eastAsia="仿宋_GB2312"/>
                <w:b/>
                <w:bCs/>
                <w:sz w:val="28"/>
                <w:szCs w:val="28"/>
              </w:rPr>
            </w:pPr>
            <w:r>
              <w:rPr>
                <w:rFonts w:hint="eastAsia" w:ascii="仿宋_GB2312" w:hAnsi="宋体" w:eastAsia="仿宋_GB2312"/>
                <w:b/>
                <w:bCs/>
                <w:sz w:val="28"/>
                <w:szCs w:val="28"/>
              </w:rPr>
              <w:t>般</w:t>
            </w:r>
          </w:p>
          <w:p>
            <w:pPr>
              <w:jc w:val="center"/>
              <w:rPr>
                <w:rFonts w:ascii="仿宋_GB2312" w:hAnsi="宋体" w:eastAsia="仿宋_GB2312"/>
                <w:sz w:val="28"/>
                <w:szCs w:val="28"/>
              </w:rPr>
            </w:pPr>
            <w:r>
              <w:rPr>
                <w:rFonts w:hint="eastAsia" w:ascii="仿宋_GB2312" w:hAnsi="宋体" w:eastAsia="仿宋_GB2312"/>
                <w:b/>
                <w:bCs/>
                <w:sz w:val="28"/>
                <w:szCs w:val="28"/>
              </w:rPr>
              <w:t>项目</w:t>
            </w:r>
          </w:p>
        </w:tc>
        <w:tc>
          <w:tcPr>
            <w:tcW w:w="813" w:type="dxa"/>
            <w:vAlign w:val="center"/>
          </w:tcPr>
          <w:p>
            <w:pPr>
              <w:spacing w:line="400" w:lineRule="exact"/>
              <w:ind w:left="120" w:right="-128" w:rightChars="-61" w:hanging="120" w:hangingChars="50"/>
              <w:rPr>
                <w:rFonts w:cs="Times New Roman"/>
                <w:sz w:val="24"/>
                <w:szCs w:val="24"/>
              </w:rPr>
            </w:pPr>
            <w:r>
              <w:rPr>
                <w:rFonts w:hint="eastAsia" w:cs="Times New Roman"/>
                <w:sz w:val="24"/>
                <w:szCs w:val="24"/>
              </w:rPr>
              <w:t>第十条</w:t>
            </w:r>
          </w:p>
        </w:tc>
        <w:tc>
          <w:tcPr>
            <w:tcW w:w="1167" w:type="dxa"/>
            <w:vAlign w:val="center"/>
          </w:tcPr>
          <w:p>
            <w:pPr>
              <w:spacing w:line="400" w:lineRule="exact"/>
              <w:ind w:left="120" w:right="-128" w:rightChars="-61" w:hanging="120" w:hangingChars="50"/>
              <w:rPr>
                <w:rFonts w:cs="Times New Roman"/>
                <w:sz w:val="24"/>
                <w:szCs w:val="24"/>
              </w:rPr>
            </w:pPr>
            <w:r>
              <w:rPr>
                <w:rFonts w:hint="eastAsia" w:cs="Times New Roman"/>
                <w:sz w:val="24"/>
                <w:szCs w:val="24"/>
              </w:rPr>
              <w:t>1.7.2</w:t>
            </w:r>
          </w:p>
        </w:tc>
        <w:tc>
          <w:tcPr>
            <w:tcW w:w="6204" w:type="dxa"/>
            <w:gridSpan w:val="5"/>
          </w:tcPr>
          <w:p>
            <w:pPr>
              <w:spacing w:line="400" w:lineRule="exact"/>
              <w:rPr>
                <w:rFonts w:cs="Times New Roman"/>
                <w:sz w:val="24"/>
                <w:szCs w:val="24"/>
              </w:rPr>
            </w:pPr>
            <w:r>
              <w:rPr>
                <w:rFonts w:hint="eastAsia" w:cs="Times New Roman"/>
                <w:sz w:val="24"/>
                <w:szCs w:val="24"/>
              </w:rPr>
              <w:t>企业</w:t>
            </w:r>
            <w:r>
              <w:rPr>
                <w:rFonts w:cs="Times New Roman"/>
                <w:sz w:val="24"/>
                <w:szCs w:val="24"/>
              </w:rPr>
              <w:t>对临时进入洁净室的人员进出洁净区的指导和监督作出了规定</w:t>
            </w:r>
            <w:r>
              <w:rPr>
                <w:rFonts w:hint="eastAsia" w:cs="Times New Roman"/>
                <w:sz w:val="24"/>
                <w:szCs w:val="24"/>
              </w:rPr>
              <w:t>，此次检查过程中未按规定执行。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left="120" w:right="-128" w:rightChars="-61" w:hanging="120" w:hangingChars="50"/>
              <w:rPr>
                <w:rFonts w:cs="Times New Roman"/>
                <w:sz w:val="24"/>
                <w:szCs w:val="24"/>
              </w:rPr>
            </w:pPr>
            <w:r>
              <w:rPr>
                <w:rFonts w:hint="eastAsia" w:cs="Times New Roman"/>
                <w:sz w:val="24"/>
                <w:szCs w:val="24"/>
              </w:rPr>
              <w:t>附录2.1.2</w:t>
            </w:r>
          </w:p>
        </w:tc>
        <w:tc>
          <w:tcPr>
            <w:tcW w:w="1167" w:type="dxa"/>
            <w:vAlign w:val="center"/>
          </w:tcPr>
          <w:p>
            <w:pPr>
              <w:spacing w:line="400" w:lineRule="exact"/>
              <w:ind w:left="120" w:right="-128" w:rightChars="-61" w:hanging="120" w:hangingChars="50"/>
              <w:rPr>
                <w:rFonts w:cs="Times New Roman"/>
                <w:sz w:val="24"/>
                <w:szCs w:val="24"/>
              </w:rPr>
            </w:pPr>
            <w:r>
              <w:rPr>
                <w:rFonts w:hint="eastAsia" w:cs="Times New Roman"/>
                <w:sz w:val="24"/>
                <w:szCs w:val="24"/>
              </w:rPr>
              <w:t>1.8.2</w:t>
            </w:r>
          </w:p>
        </w:tc>
        <w:tc>
          <w:tcPr>
            <w:tcW w:w="6204" w:type="dxa"/>
            <w:gridSpan w:val="5"/>
          </w:tcPr>
          <w:p>
            <w:pPr>
              <w:spacing w:line="400" w:lineRule="exact"/>
              <w:rPr>
                <w:rFonts w:cs="Times New Roman"/>
                <w:sz w:val="24"/>
                <w:szCs w:val="24"/>
              </w:rPr>
            </w:pPr>
            <w:r>
              <w:rPr>
                <w:rFonts w:hint="eastAsia" w:cs="Times New Roman"/>
                <w:sz w:val="24"/>
                <w:szCs w:val="24"/>
              </w:rPr>
              <w:t>企业十万级洁净区内，现场企业人员穿衣流程随意，未按照从上到下的流程穿衣。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附录2.1.2</w:t>
            </w:r>
          </w:p>
        </w:tc>
        <w:tc>
          <w:tcPr>
            <w:tcW w:w="1167" w:type="dxa"/>
            <w:vAlign w:val="center"/>
          </w:tcPr>
          <w:p>
            <w:pPr>
              <w:spacing w:line="400" w:lineRule="exact"/>
              <w:ind w:right="-128" w:rightChars="-61"/>
              <w:rPr>
                <w:rFonts w:cs="Times New Roman"/>
                <w:sz w:val="24"/>
                <w:szCs w:val="24"/>
              </w:rPr>
            </w:pPr>
            <w:r>
              <w:rPr>
                <w:rFonts w:hint="eastAsia" w:cs="Times New Roman"/>
                <w:sz w:val="24"/>
                <w:szCs w:val="24"/>
              </w:rPr>
              <w:t>1.8.3</w:t>
            </w:r>
          </w:p>
        </w:tc>
        <w:tc>
          <w:tcPr>
            <w:tcW w:w="6204" w:type="dxa"/>
            <w:gridSpan w:val="5"/>
          </w:tcPr>
          <w:p>
            <w:pPr>
              <w:spacing w:line="400" w:lineRule="exact"/>
              <w:ind w:right="-304" w:rightChars="-145"/>
              <w:jc w:val="left"/>
              <w:rPr>
                <w:rFonts w:cs="Times New Roman"/>
                <w:sz w:val="24"/>
                <w:szCs w:val="24"/>
              </w:rPr>
            </w:pPr>
            <w:r>
              <w:rPr>
                <w:rFonts w:hint="eastAsia" w:cs="Times New Roman"/>
                <w:sz w:val="24"/>
                <w:szCs w:val="24"/>
              </w:rPr>
              <w:t>企业未制定</w:t>
            </w:r>
            <w:r>
              <w:rPr>
                <w:rFonts w:cs="Times New Roman"/>
                <w:sz w:val="24"/>
                <w:szCs w:val="24"/>
              </w:rPr>
              <w:t>裸手接触产品的操作人员应当对手再次进行消毒</w:t>
            </w:r>
            <w:r>
              <w:rPr>
                <w:rFonts w:hint="eastAsia" w:cs="Times New Roman"/>
                <w:sz w:val="24"/>
                <w:szCs w:val="24"/>
              </w:rPr>
              <w:t>的规定</w:t>
            </w:r>
            <w:r>
              <w:rPr>
                <w:rFonts w:cs="Times New Roman"/>
                <w:sz w:val="24"/>
                <w:szCs w:val="24"/>
              </w:rPr>
              <w:t>。</w:t>
            </w:r>
            <w:r>
              <w:rPr>
                <w:rFonts w:hint="eastAsia" w:cs="Times New Roman"/>
                <w:sz w:val="24"/>
                <w:szCs w:val="24"/>
              </w:rPr>
              <w:t>现场未见</w:t>
            </w:r>
            <w:r>
              <w:rPr>
                <w:rFonts w:cs="Times New Roman"/>
                <w:sz w:val="24"/>
                <w:szCs w:val="24"/>
              </w:rPr>
              <w:t>裸手消毒剂定期更换</w:t>
            </w:r>
            <w:r>
              <w:rPr>
                <w:rFonts w:hint="eastAsia" w:cs="Times New Roman"/>
                <w:sz w:val="24"/>
                <w:szCs w:val="24"/>
              </w:rPr>
              <w:t>记录</w:t>
            </w:r>
            <w:r>
              <w:rPr>
                <w:rFonts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jc w:val="left"/>
              <w:rPr>
                <w:rFonts w:cs="Times New Roman"/>
                <w:sz w:val="24"/>
                <w:szCs w:val="24"/>
              </w:rPr>
            </w:pPr>
            <w:r>
              <w:rPr>
                <w:rFonts w:hint="eastAsia" w:cs="Times New Roman"/>
                <w:sz w:val="24"/>
                <w:szCs w:val="24"/>
              </w:rPr>
              <w:t>第十一条</w:t>
            </w:r>
          </w:p>
        </w:tc>
        <w:tc>
          <w:tcPr>
            <w:tcW w:w="1167" w:type="dxa"/>
            <w:vAlign w:val="center"/>
          </w:tcPr>
          <w:p>
            <w:pPr>
              <w:spacing w:line="400" w:lineRule="exact"/>
              <w:ind w:right="-128" w:rightChars="-61"/>
              <w:rPr>
                <w:rFonts w:cs="Times New Roman"/>
                <w:sz w:val="24"/>
                <w:szCs w:val="24"/>
              </w:rPr>
            </w:pPr>
            <w:r>
              <w:rPr>
                <w:rFonts w:hint="eastAsia" w:cs="Times New Roman"/>
                <w:sz w:val="24"/>
                <w:szCs w:val="24"/>
              </w:rPr>
              <w:t>1.9.1</w:t>
            </w:r>
          </w:p>
        </w:tc>
        <w:tc>
          <w:tcPr>
            <w:tcW w:w="6204" w:type="dxa"/>
            <w:gridSpan w:val="5"/>
          </w:tcPr>
          <w:p>
            <w:pPr>
              <w:spacing w:line="400" w:lineRule="exact"/>
              <w:ind w:right="-304" w:rightChars="-145"/>
              <w:jc w:val="left"/>
              <w:rPr>
                <w:rFonts w:ascii="Calibri" w:hAnsi="Calibri" w:eastAsia="宋体" w:cs="Times New Roman"/>
                <w:sz w:val="24"/>
                <w:szCs w:val="24"/>
              </w:rPr>
            </w:pPr>
            <w:r>
              <w:rPr>
                <w:rFonts w:hint="eastAsia" w:ascii="Calibri" w:hAnsi="Calibri" w:eastAsia="宋体" w:cs="Times New Roman"/>
                <w:sz w:val="24"/>
                <w:szCs w:val="24"/>
              </w:rPr>
              <w:t xml:space="preserve">企业收集了员工的健康报告，未建立人员健康档案。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附录2.1.4</w:t>
            </w:r>
          </w:p>
        </w:tc>
        <w:tc>
          <w:tcPr>
            <w:tcW w:w="1167" w:type="dxa"/>
            <w:vAlign w:val="center"/>
          </w:tcPr>
          <w:p>
            <w:pPr>
              <w:spacing w:line="400" w:lineRule="exact"/>
              <w:ind w:right="-128" w:rightChars="-61"/>
              <w:rPr>
                <w:rFonts w:cs="Times New Roman"/>
                <w:sz w:val="24"/>
                <w:szCs w:val="24"/>
              </w:rPr>
            </w:pPr>
            <w:r>
              <w:rPr>
                <w:rFonts w:cs="Times New Roman"/>
                <w:sz w:val="24"/>
                <w:szCs w:val="24"/>
              </w:rPr>
              <w:t>1.10.1</w:t>
            </w:r>
          </w:p>
        </w:tc>
        <w:tc>
          <w:tcPr>
            <w:tcW w:w="6204" w:type="dxa"/>
            <w:gridSpan w:val="5"/>
          </w:tcPr>
          <w:p>
            <w:pPr>
              <w:spacing w:line="400" w:lineRule="exact"/>
              <w:jc w:val="left"/>
              <w:rPr>
                <w:rFonts w:ascii="Calibri" w:hAnsi="Calibri" w:eastAsia="宋体" w:cs="Times New Roman"/>
                <w:sz w:val="24"/>
                <w:szCs w:val="24"/>
              </w:rPr>
            </w:pPr>
            <w:r>
              <w:rPr>
                <w:rFonts w:ascii="Calibri" w:hAnsi="Calibri" w:eastAsia="宋体" w:cs="Times New Roman"/>
                <w:sz w:val="24"/>
                <w:szCs w:val="24"/>
              </w:rPr>
              <w:t>查看</w:t>
            </w:r>
            <w:r>
              <w:rPr>
                <w:rFonts w:hint="eastAsia" w:ascii="Calibri" w:hAnsi="Calibri" w:eastAsia="宋体" w:cs="Times New Roman"/>
                <w:sz w:val="24"/>
                <w:szCs w:val="24"/>
              </w:rPr>
              <w:t>《实验室管理规定》中“人员进出阳性限度室的操作流程”，实验后一次性无尘服未规定应进行高压灭菌后再丢弃</w:t>
            </w:r>
            <w:r>
              <w:rPr>
                <w:rFonts w:hint="eastAsia"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第十三条</w:t>
            </w:r>
          </w:p>
        </w:tc>
        <w:tc>
          <w:tcPr>
            <w:tcW w:w="1167" w:type="dxa"/>
            <w:vAlign w:val="center"/>
          </w:tcPr>
          <w:p>
            <w:pPr>
              <w:spacing w:line="400" w:lineRule="exact"/>
              <w:ind w:right="-128" w:rightChars="-61"/>
              <w:rPr>
                <w:rFonts w:cs="Times New Roman"/>
                <w:sz w:val="24"/>
                <w:szCs w:val="24"/>
              </w:rPr>
            </w:pPr>
            <w:r>
              <w:rPr>
                <w:rFonts w:hint="eastAsia" w:cs="Times New Roman"/>
                <w:sz w:val="24"/>
                <w:szCs w:val="24"/>
              </w:rPr>
              <w:t>2.2.2</w:t>
            </w:r>
          </w:p>
        </w:tc>
        <w:tc>
          <w:tcPr>
            <w:tcW w:w="6204" w:type="dxa"/>
            <w:gridSpan w:val="5"/>
          </w:tcPr>
          <w:p>
            <w:pPr>
              <w:spacing w:line="400" w:lineRule="exact"/>
              <w:jc w:val="left"/>
              <w:rPr>
                <w:rFonts w:ascii="Calibri" w:hAnsi="Calibri" w:eastAsia="宋体" w:cs="Times New Roman"/>
                <w:sz w:val="24"/>
                <w:szCs w:val="24"/>
              </w:rPr>
            </w:pPr>
            <w:r>
              <w:rPr>
                <w:rFonts w:hint="eastAsia" w:ascii="Calibri" w:hAnsi="Calibri" w:eastAsia="宋体" w:cs="Times New Roman"/>
                <w:sz w:val="24"/>
                <w:szCs w:val="24"/>
              </w:rPr>
              <w:t>洁净车间内挤管车间有摆放杂物，地面有积水，挤管挤出机水箱内有积水。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附录</w:t>
            </w:r>
            <w:r>
              <w:rPr>
                <w:rFonts w:cs="Times New Roman"/>
                <w:sz w:val="24"/>
                <w:szCs w:val="24"/>
              </w:rPr>
              <w:t>2.2.2</w:t>
            </w:r>
          </w:p>
        </w:tc>
        <w:tc>
          <w:tcPr>
            <w:tcW w:w="1167" w:type="dxa"/>
            <w:vAlign w:val="center"/>
          </w:tcPr>
          <w:p>
            <w:pPr>
              <w:spacing w:line="400" w:lineRule="exact"/>
              <w:ind w:right="-128" w:rightChars="-61"/>
              <w:rPr>
                <w:rFonts w:cs="Times New Roman"/>
                <w:sz w:val="24"/>
                <w:szCs w:val="24"/>
              </w:rPr>
            </w:pPr>
            <w:r>
              <w:rPr>
                <w:rFonts w:hint="eastAsia" w:cs="Times New Roman"/>
                <w:sz w:val="24"/>
                <w:szCs w:val="24"/>
              </w:rPr>
              <w:t>2.9.2</w:t>
            </w:r>
          </w:p>
        </w:tc>
        <w:tc>
          <w:tcPr>
            <w:tcW w:w="6204" w:type="dxa"/>
            <w:gridSpan w:val="5"/>
          </w:tcPr>
          <w:p>
            <w:pPr>
              <w:spacing w:line="400" w:lineRule="exact"/>
              <w:rPr>
                <w:rFonts w:ascii="Calibri" w:hAnsi="Calibri" w:eastAsia="宋体" w:cs="Times New Roman"/>
                <w:sz w:val="24"/>
                <w:szCs w:val="24"/>
              </w:rPr>
            </w:pPr>
            <w:r>
              <w:rPr>
                <w:rFonts w:hint="eastAsia" w:ascii="Calibri" w:hAnsi="Calibri" w:eastAsia="宋体" w:cs="Times New Roman"/>
                <w:sz w:val="24"/>
                <w:szCs w:val="24"/>
              </w:rPr>
              <w:t>微生物限度间及阳性对照间一更（洁净区）和普通区之间的压差计显示为8KPM。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附录</w:t>
            </w:r>
            <w:r>
              <w:rPr>
                <w:rFonts w:cs="Times New Roman"/>
                <w:sz w:val="24"/>
                <w:szCs w:val="24"/>
              </w:rPr>
              <w:t>2.2.14</w:t>
            </w:r>
          </w:p>
        </w:tc>
        <w:tc>
          <w:tcPr>
            <w:tcW w:w="1167" w:type="dxa"/>
            <w:vAlign w:val="center"/>
          </w:tcPr>
          <w:p>
            <w:pPr>
              <w:spacing w:line="400" w:lineRule="exact"/>
              <w:ind w:right="-128" w:rightChars="-61"/>
              <w:rPr>
                <w:rFonts w:cs="Times New Roman"/>
                <w:sz w:val="24"/>
                <w:szCs w:val="24"/>
              </w:rPr>
            </w:pPr>
            <w:r>
              <w:rPr>
                <w:rFonts w:cs="Times New Roman"/>
                <w:sz w:val="24"/>
                <w:szCs w:val="24"/>
              </w:rPr>
              <w:t>2.21.4</w:t>
            </w:r>
          </w:p>
        </w:tc>
        <w:tc>
          <w:tcPr>
            <w:tcW w:w="6204" w:type="dxa"/>
            <w:gridSpan w:val="5"/>
          </w:tcPr>
          <w:p>
            <w:pPr>
              <w:spacing w:line="400" w:lineRule="exact"/>
              <w:rPr>
                <w:rFonts w:ascii="Calibri" w:hAnsi="Calibri" w:eastAsia="宋体" w:cs="Times New Roman"/>
                <w:sz w:val="24"/>
                <w:szCs w:val="24"/>
              </w:rPr>
            </w:pPr>
            <w:r>
              <w:rPr>
                <w:rFonts w:hint="eastAsia" w:ascii="Calibri" w:hAnsi="Calibri" w:eastAsia="宋体" w:cs="Times New Roman"/>
                <w:sz w:val="24"/>
                <w:szCs w:val="24"/>
              </w:rPr>
              <w:t>洁净车间内的地漏被水槽遮盖，无法查看排水系统是否安装有空气阻断功能的装置；洗衣间的洗衣机出水口的设计不能满足防止倒灌的要求。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第二十条</w:t>
            </w:r>
          </w:p>
        </w:tc>
        <w:tc>
          <w:tcPr>
            <w:tcW w:w="1167" w:type="dxa"/>
            <w:vAlign w:val="center"/>
          </w:tcPr>
          <w:p>
            <w:pPr>
              <w:spacing w:line="400" w:lineRule="exact"/>
              <w:ind w:right="-128" w:rightChars="-61"/>
              <w:rPr>
                <w:rFonts w:cs="Times New Roman"/>
                <w:sz w:val="24"/>
                <w:szCs w:val="24"/>
              </w:rPr>
            </w:pPr>
            <w:r>
              <w:rPr>
                <w:rFonts w:hint="eastAsia" w:cs="Times New Roman"/>
                <w:sz w:val="24"/>
                <w:szCs w:val="24"/>
              </w:rPr>
              <w:t>3.2.1</w:t>
            </w:r>
          </w:p>
        </w:tc>
        <w:tc>
          <w:tcPr>
            <w:tcW w:w="6204" w:type="dxa"/>
            <w:gridSpan w:val="5"/>
          </w:tcPr>
          <w:p>
            <w:pPr>
              <w:spacing w:line="400" w:lineRule="exact"/>
              <w:rPr>
                <w:rFonts w:ascii="Calibri" w:hAnsi="Calibri" w:eastAsia="宋体" w:cs="Times New Roman"/>
                <w:sz w:val="24"/>
                <w:szCs w:val="24"/>
              </w:rPr>
            </w:pPr>
            <w:r>
              <w:rPr>
                <w:rFonts w:hint="eastAsia" w:ascii="Calibri" w:hAnsi="Calibri" w:eastAsia="宋体" w:cs="Times New Roman"/>
                <w:sz w:val="24"/>
                <w:szCs w:val="24"/>
              </w:rPr>
              <w:t>洁净车间消毒间内的超声波清洗机和烘干烤箱无生产设备标识和状态标识。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附录</w:t>
            </w:r>
            <w:r>
              <w:rPr>
                <w:rFonts w:cs="Times New Roman"/>
                <w:sz w:val="24"/>
                <w:szCs w:val="24"/>
              </w:rPr>
              <w:t>2.3.4</w:t>
            </w:r>
          </w:p>
        </w:tc>
        <w:tc>
          <w:tcPr>
            <w:tcW w:w="1167" w:type="dxa"/>
            <w:vAlign w:val="center"/>
          </w:tcPr>
          <w:p>
            <w:pPr>
              <w:spacing w:line="400" w:lineRule="exact"/>
              <w:ind w:right="-128" w:rightChars="-61"/>
              <w:rPr>
                <w:rFonts w:cs="Times New Roman"/>
                <w:sz w:val="24"/>
                <w:szCs w:val="24"/>
              </w:rPr>
            </w:pPr>
            <w:r>
              <w:rPr>
                <w:rFonts w:hint="eastAsia" w:cs="Times New Roman"/>
                <w:sz w:val="24"/>
                <w:szCs w:val="24"/>
              </w:rPr>
              <w:t>3.9.1</w:t>
            </w:r>
          </w:p>
        </w:tc>
        <w:tc>
          <w:tcPr>
            <w:tcW w:w="6204" w:type="dxa"/>
            <w:gridSpan w:val="5"/>
          </w:tcPr>
          <w:p>
            <w:pPr>
              <w:spacing w:line="400" w:lineRule="exact"/>
              <w:rPr>
                <w:rFonts w:ascii="Calibri" w:hAnsi="Calibri" w:eastAsia="宋体" w:cs="Times New Roman"/>
                <w:sz w:val="24"/>
                <w:szCs w:val="24"/>
              </w:rPr>
            </w:pPr>
            <w:r>
              <w:rPr>
                <w:rFonts w:ascii="Calibri" w:hAnsi="Calibri" w:eastAsia="宋体" w:cs="Times New Roman"/>
                <w:sz w:val="24"/>
                <w:szCs w:val="24"/>
              </w:rPr>
              <w:t>洁净</w:t>
            </w:r>
            <w:r>
              <w:rPr>
                <w:rFonts w:hint="eastAsia" w:ascii="Calibri" w:hAnsi="Calibri" w:eastAsia="宋体" w:cs="Times New Roman"/>
                <w:sz w:val="24"/>
                <w:szCs w:val="24"/>
              </w:rPr>
              <w:t>车间、无菌实验室、微生物限度间及阳性对照间</w:t>
            </w:r>
            <w:r>
              <w:rPr>
                <w:rFonts w:ascii="Calibri" w:hAnsi="Calibri" w:eastAsia="宋体" w:cs="Times New Roman"/>
                <w:sz w:val="24"/>
                <w:szCs w:val="24"/>
              </w:rPr>
              <w:t>内</w:t>
            </w:r>
            <w:r>
              <w:rPr>
                <w:rFonts w:hint="eastAsia" w:ascii="Calibri" w:hAnsi="Calibri" w:eastAsia="宋体" w:cs="Times New Roman"/>
                <w:sz w:val="24"/>
                <w:szCs w:val="24"/>
              </w:rPr>
              <w:t>一更洗手台出水口管道留有死角，易滋生细菌产生污染。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第三十七条</w:t>
            </w:r>
          </w:p>
        </w:tc>
        <w:tc>
          <w:tcPr>
            <w:tcW w:w="1167" w:type="dxa"/>
            <w:vAlign w:val="center"/>
          </w:tcPr>
          <w:p>
            <w:pPr>
              <w:spacing w:line="400" w:lineRule="exact"/>
              <w:ind w:right="-128" w:rightChars="-61"/>
              <w:rPr>
                <w:rFonts w:cs="Times New Roman"/>
                <w:sz w:val="24"/>
                <w:szCs w:val="24"/>
              </w:rPr>
            </w:pPr>
            <w:r>
              <w:rPr>
                <w:rFonts w:hint="eastAsia" w:cs="Times New Roman"/>
                <w:sz w:val="24"/>
                <w:szCs w:val="24"/>
              </w:rPr>
              <w:t>5.10.1</w:t>
            </w:r>
          </w:p>
        </w:tc>
        <w:tc>
          <w:tcPr>
            <w:tcW w:w="6204" w:type="dxa"/>
            <w:gridSpan w:val="5"/>
          </w:tcPr>
          <w:p>
            <w:pPr>
              <w:spacing w:line="400" w:lineRule="exact"/>
              <w:rPr>
                <w:rFonts w:cs="Times New Roman"/>
                <w:sz w:val="24"/>
                <w:szCs w:val="24"/>
              </w:rPr>
            </w:pPr>
            <w:r>
              <w:rPr>
                <w:rFonts w:hint="eastAsia" w:cs="Times New Roman"/>
                <w:sz w:val="24"/>
                <w:szCs w:val="24"/>
              </w:rPr>
              <w:t>查看购销合同，企业2018年4月21日将HDX环氧乙烷灭菌器出售给亿替讴（厦门）灭菌技术有限公司，并于2018年5月与亿替讴（厦门）灭菌技术有限公司签定环氧乙烷灭菌和消毒外包服务合同。产品发生重大变更，企业未进行设计和开发的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left="120" w:right="-128" w:rightChars="-61" w:hanging="120" w:hangingChars="50"/>
              <w:rPr>
                <w:rFonts w:cs="Times New Roman"/>
                <w:sz w:val="24"/>
                <w:szCs w:val="24"/>
              </w:rPr>
            </w:pPr>
            <w:r>
              <w:rPr>
                <w:rFonts w:hint="eastAsia" w:cs="Times New Roman"/>
                <w:sz w:val="24"/>
                <w:szCs w:val="24"/>
              </w:rPr>
              <w:t>附录</w:t>
            </w:r>
            <w:r>
              <w:rPr>
                <w:rFonts w:cs="Times New Roman"/>
                <w:sz w:val="24"/>
                <w:szCs w:val="24"/>
              </w:rPr>
              <w:t>2.6.2</w:t>
            </w:r>
          </w:p>
        </w:tc>
        <w:tc>
          <w:tcPr>
            <w:tcW w:w="1167" w:type="dxa"/>
            <w:vAlign w:val="center"/>
          </w:tcPr>
          <w:p>
            <w:pPr>
              <w:spacing w:line="400" w:lineRule="exact"/>
              <w:ind w:left="120" w:right="-128" w:rightChars="-61" w:hanging="120" w:hangingChars="50"/>
              <w:rPr>
                <w:rFonts w:cs="Times New Roman"/>
                <w:sz w:val="24"/>
                <w:szCs w:val="24"/>
              </w:rPr>
            </w:pPr>
            <w:r>
              <w:rPr>
                <w:rFonts w:cs="Times New Roman"/>
                <w:sz w:val="24"/>
                <w:szCs w:val="24"/>
              </w:rPr>
              <w:t>7.13.1</w:t>
            </w:r>
          </w:p>
        </w:tc>
        <w:tc>
          <w:tcPr>
            <w:tcW w:w="6204" w:type="dxa"/>
            <w:gridSpan w:val="5"/>
          </w:tcPr>
          <w:p>
            <w:pPr>
              <w:spacing w:line="400" w:lineRule="exact"/>
              <w:rPr>
                <w:rFonts w:asciiTheme="minorEastAsia" w:hAnsiTheme="minorEastAsia"/>
                <w:sz w:val="24"/>
                <w:szCs w:val="24"/>
              </w:rPr>
            </w:pPr>
            <w:r>
              <w:rPr>
                <w:rFonts w:hint="eastAsia" w:asciiTheme="minorEastAsia" w:hAnsiTheme="minorEastAsia"/>
                <w:sz w:val="24"/>
                <w:szCs w:val="24"/>
              </w:rPr>
              <w:t>现场发现多处水池地漏存有垃圾；未按用途对清洁工具进行分类，如抹布未按用途区分；消毒剂使用记录显示有使用0.02%强氯精和75%酒精，但《洁净车间管理规定》（文件编号：CP-QS-PD-001）中规定使用的消毒剂只有5%甲酚皂和0.1%新洁尔；企业使用吸尘器作为清洁工具，</w:t>
            </w:r>
            <w:r>
              <w:rPr>
                <w:rFonts w:hint="eastAsia" w:ascii="Calibri" w:hAnsi="Calibri" w:eastAsia="宋体" w:cs="Times New Roman"/>
                <w:sz w:val="24"/>
                <w:szCs w:val="24"/>
              </w:rPr>
              <w:t>易滋生细菌产生污染</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left="120" w:right="-128" w:rightChars="-61" w:hanging="120" w:hangingChars="50"/>
              <w:rPr>
                <w:rFonts w:cs="Times New Roman"/>
                <w:sz w:val="24"/>
                <w:szCs w:val="24"/>
              </w:rPr>
            </w:pPr>
            <w:r>
              <w:rPr>
                <w:rFonts w:hint="eastAsia" w:cs="Times New Roman"/>
                <w:sz w:val="24"/>
                <w:szCs w:val="24"/>
              </w:rPr>
              <w:t>附录2.6.4</w:t>
            </w:r>
          </w:p>
        </w:tc>
        <w:tc>
          <w:tcPr>
            <w:tcW w:w="1167" w:type="dxa"/>
            <w:vAlign w:val="center"/>
          </w:tcPr>
          <w:p>
            <w:pPr>
              <w:spacing w:line="400" w:lineRule="exact"/>
              <w:ind w:left="120" w:right="-128" w:rightChars="-61" w:hanging="120" w:hangingChars="50"/>
              <w:rPr>
                <w:rFonts w:cs="Times New Roman"/>
                <w:sz w:val="24"/>
                <w:szCs w:val="24"/>
              </w:rPr>
            </w:pPr>
            <w:r>
              <w:rPr>
                <w:rFonts w:hint="eastAsia" w:cs="Times New Roman"/>
                <w:sz w:val="24"/>
                <w:szCs w:val="24"/>
              </w:rPr>
              <w:t>7.15.1</w:t>
            </w:r>
          </w:p>
        </w:tc>
        <w:tc>
          <w:tcPr>
            <w:tcW w:w="6204" w:type="dxa"/>
            <w:gridSpan w:val="5"/>
          </w:tcPr>
          <w:p>
            <w:pPr>
              <w:spacing w:line="400" w:lineRule="exact"/>
              <w:rPr>
                <w:rFonts w:asciiTheme="minorEastAsia" w:hAnsiTheme="minorEastAsia"/>
                <w:sz w:val="24"/>
                <w:szCs w:val="24"/>
              </w:rPr>
            </w:pPr>
            <w:r>
              <w:rPr>
                <w:rFonts w:hint="eastAsia" w:asciiTheme="minorEastAsia" w:hAnsiTheme="minorEastAsia"/>
                <w:sz w:val="24"/>
                <w:szCs w:val="24"/>
              </w:rPr>
              <w:t>现场发现挤管挤出机（设备编码：JG-002）模头表面已完全生锈。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b/>
                <w:bCs/>
                <w:sz w:val="28"/>
                <w:szCs w:val="28"/>
              </w:rPr>
            </w:pPr>
          </w:p>
        </w:tc>
        <w:tc>
          <w:tcPr>
            <w:tcW w:w="813" w:type="dxa"/>
            <w:vAlign w:val="center"/>
          </w:tcPr>
          <w:p>
            <w:pPr>
              <w:spacing w:line="400" w:lineRule="exact"/>
              <w:ind w:left="120" w:right="-128" w:rightChars="-61" w:hanging="120" w:hangingChars="50"/>
              <w:rPr>
                <w:rFonts w:cs="Times New Roman"/>
                <w:sz w:val="24"/>
                <w:szCs w:val="24"/>
              </w:rPr>
            </w:pPr>
            <w:r>
              <w:rPr>
                <w:rFonts w:hint="eastAsia" w:cs="Times New Roman"/>
                <w:sz w:val="24"/>
                <w:szCs w:val="24"/>
              </w:rPr>
              <w:t>附录2.6.5</w:t>
            </w:r>
          </w:p>
        </w:tc>
        <w:tc>
          <w:tcPr>
            <w:tcW w:w="1167" w:type="dxa"/>
            <w:vAlign w:val="center"/>
          </w:tcPr>
          <w:p>
            <w:pPr>
              <w:spacing w:line="400" w:lineRule="exact"/>
              <w:ind w:left="120" w:right="-128" w:rightChars="-61" w:hanging="120" w:hangingChars="50"/>
              <w:rPr>
                <w:rFonts w:cs="Times New Roman"/>
                <w:sz w:val="24"/>
                <w:szCs w:val="24"/>
              </w:rPr>
            </w:pPr>
            <w:r>
              <w:rPr>
                <w:rFonts w:cs="Times New Roman"/>
                <w:sz w:val="24"/>
                <w:szCs w:val="24"/>
              </w:rPr>
              <w:t>7.16.1</w:t>
            </w:r>
          </w:p>
        </w:tc>
        <w:tc>
          <w:tcPr>
            <w:tcW w:w="6204" w:type="dxa"/>
            <w:gridSpan w:val="5"/>
          </w:tcPr>
          <w:p>
            <w:pPr>
              <w:spacing w:line="400" w:lineRule="exact"/>
              <w:rPr>
                <w:rFonts w:asciiTheme="minorEastAsia" w:hAnsiTheme="minorEastAsia"/>
                <w:sz w:val="24"/>
                <w:szCs w:val="24"/>
              </w:rPr>
            </w:pPr>
            <w:r>
              <w:rPr>
                <w:rFonts w:hint="eastAsia" w:asciiTheme="minorEastAsia" w:hAnsiTheme="minorEastAsia"/>
                <w:sz w:val="24"/>
                <w:szCs w:val="24"/>
              </w:rPr>
              <w:t>企业采用风淋装置去除进入洁净室的物品的污染物，但未规定风淋装置的清洁维护方法，无法保证风淋装置能长期有效去除污染物。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附录2.7.2</w:t>
            </w:r>
          </w:p>
        </w:tc>
        <w:tc>
          <w:tcPr>
            <w:tcW w:w="1167" w:type="dxa"/>
            <w:vAlign w:val="center"/>
          </w:tcPr>
          <w:p>
            <w:pPr>
              <w:spacing w:line="400" w:lineRule="exact"/>
              <w:ind w:right="-128" w:rightChars="-61"/>
              <w:rPr>
                <w:rFonts w:cs="Times New Roman"/>
                <w:sz w:val="24"/>
                <w:szCs w:val="24"/>
              </w:rPr>
            </w:pPr>
            <w:r>
              <w:rPr>
                <w:rFonts w:cs="Times New Roman"/>
                <w:sz w:val="24"/>
                <w:szCs w:val="24"/>
              </w:rPr>
              <w:t>8.8.1</w:t>
            </w:r>
          </w:p>
        </w:tc>
        <w:tc>
          <w:tcPr>
            <w:tcW w:w="6204" w:type="dxa"/>
            <w:gridSpan w:val="5"/>
          </w:tcPr>
          <w:p>
            <w:pPr>
              <w:spacing w:line="400" w:lineRule="exact"/>
              <w:rPr>
                <w:rFonts w:asciiTheme="minorEastAsia" w:hAnsiTheme="minorEastAsia"/>
                <w:sz w:val="24"/>
                <w:szCs w:val="24"/>
              </w:rPr>
            </w:pPr>
            <w:r>
              <w:rPr>
                <w:rFonts w:hint="eastAsia" w:asciiTheme="minorEastAsia" w:hAnsiTheme="minorEastAsia"/>
                <w:sz w:val="24"/>
                <w:szCs w:val="24"/>
              </w:rPr>
              <w:t>2018年6月份工艺用水检验记录不完整，缺少取样点4的检验记录，不符合企业制定的《纯化水检验规范》（文件编号：CP-01-02-0013）要求。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附录2.7.4</w:t>
            </w:r>
          </w:p>
        </w:tc>
        <w:tc>
          <w:tcPr>
            <w:tcW w:w="1167" w:type="dxa"/>
            <w:vAlign w:val="center"/>
          </w:tcPr>
          <w:p>
            <w:pPr>
              <w:spacing w:line="400" w:lineRule="exact"/>
              <w:ind w:right="-128" w:rightChars="-61"/>
              <w:rPr>
                <w:rFonts w:cs="Times New Roman"/>
                <w:sz w:val="24"/>
                <w:szCs w:val="24"/>
              </w:rPr>
            </w:pPr>
            <w:r>
              <w:rPr>
                <w:rFonts w:cs="Times New Roman"/>
                <w:sz w:val="24"/>
                <w:szCs w:val="24"/>
              </w:rPr>
              <w:t>8.10.1</w:t>
            </w:r>
          </w:p>
        </w:tc>
        <w:tc>
          <w:tcPr>
            <w:tcW w:w="6204" w:type="dxa"/>
            <w:gridSpan w:val="5"/>
          </w:tcPr>
          <w:p>
            <w:pPr>
              <w:spacing w:line="400" w:lineRule="exact"/>
              <w:rPr>
                <w:rFonts w:asciiTheme="minorEastAsia" w:hAnsiTheme="minorEastAsia"/>
                <w:sz w:val="24"/>
                <w:szCs w:val="24"/>
              </w:rPr>
            </w:pPr>
            <w:r>
              <w:rPr>
                <w:rFonts w:hint="eastAsia" w:asciiTheme="minorEastAsia" w:hAnsiTheme="minorEastAsia"/>
                <w:sz w:val="24"/>
                <w:szCs w:val="24"/>
              </w:rPr>
              <w:t>未明确中间品的存放时间。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813" w:type="dxa"/>
            <w:vAlign w:val="center"/>
          </w:tcPr>
          <w:p>
            <w:pPr>
              <w:spacing w:line="400" w:lineRule="exact"/>
              <w:ind w:right="-128" w:rightChars="-61"/>
              <w:rPr>
                <w:rFonts w:cs="Times New Roman"/>
                <w:sz w:val="24"/>
                <w:szCs w:val="24"/>
              </w:rPr>
            </w:pPr>
            <w:r>
              <w:rPr>
                <w:rFonts w:hint="eastAsia" w:cs="Times New Roman"/>
                <w:sz w:val="24"/>
                <w:szCs w:val="24"/>
              </w:rPr>
              <w:t>附录2.7.5</w:t>
            </w:r>
          </w:p>
        </w:tc>
        <w:tc>
          <w:tcPr>
            <w:tcW w:w="1167" w:type="dxa"/>
            <w:vAlign w:val="center"/>
          </w:tcPr>
          <w:p>
            <w:pPr>
              <w:spacing w:line="400" w:lineRule="exact"/>
              <w:ind w:right="-128" w:rightChars="-61"/>
              <w:rPr>
                <w:rFonts w:cs="Times New Roman"/>
                <w:sz w:val="24"/>
                <w:szCs w:val="24"/>
              </w:rPr>
            </w:pPr>
            <w:r>
              <w:rPr>
                <w:rFonts w:cs="Times New Roman"/>
                <w:sz w:val="24"/>
                <w:szCs w:val="24"/>
              </w:rPr>
              <w:t>8.11.2</w:t>
            </w:r>
          </w:p>
        </w:tc>
        <w:tc>
          <w:tcPr>
            <w:tcW w:w="6204" w:type="dxa"/>
            <w:gridSpan w:val="5"/>
          </w:tcPr>
          <w:p>
            <w:pPr>
              <w:spacing w:line="400" w:lineRule="exact"/>
              <w:rPr>
                <w:rFonts w:asciiTheme="minorEastAsia" w:hAnsiTheme="minorEastAsia"/>
                <w:sz w:val="24"/>
                <w:szCs w:val="24"/>
              </w:rPr>
            </w:pPr>
            <w:r>
              <w:rPr>
                <w:rFonts w:hint="eastAsia" w:asciiTheme="minorEastAsia" w:hAnsiTheme="minorEastAsia"/>
                <w:sz w:val="24"/>
                <w:szCs w:val="24"/>
              </w:rPr>
              <w:t>一次性使用吸氧面罩留样记录生产批号（121865）与留样室中存放的样品生产批号（111895）不一致。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8755" w:type="dxa"/>
            <w:gridSpan w:val="9"/>
            <w:vAlign w:val="center"/>
          </w:tcPr>
          <w:p>
            <w:pPr>
              <w:spacing w:line="400" w:lineRule="exact"/>
              <w:jc w:val="center"/>
              <w:rPr>
                <w:szCs w:val="24"/>
              </w:rPr>
            </w:pPr>
            <w:r>
              <w:rPr>
                <w:rFonts w:hint="eastAsia" w:ascii="仿宋" w:eastAsia="仿宋"/>
                <w:b/>
                <w:bCs/>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8755" w:type="dxa"/>
            <w:gridSpan w:val="9"/>
            <w:vAlign w:val="center"/>
          </w:tcPr>
          <w:p>
            <w:pPr>
              <w:spacing w:line="400" w:lineRule="exact"/>
              <w:rPr>
                <w:rFonts w:hint="eastAsia" w:ascii="仿宋_GB2312" w:hAnsi="宋体" w:eastAsia="仿宋_GB2312"/>
                <w:sz w:val="28"/>
                <w:szCs w:val="28"/>
              </w:rPr>
            </w:pPr>
            <w:r>
              <w:rPr>
                <w:rFonts w:hint="eastAsia" w:ascii="仿宋" w:eastAsia="仿宋"/>
                <w:sz w:val="28"/>
                <w:szCs w:val="28"/>
                <w:lang w:val="en-US" w:eastAsia="zh-CN"/>
              </w:rPr>
              <w:t xml:space="preserve">    </w:t>
            </w:r>
            <w:r>
              <w:rPr>
                <w:rFonts w:hint="eastAsia" w:asciiTheme="minorEastAsia" w:hAnsiTheme="minorEastAsia"/>
                <w:sz w:val="24"/>
                <w:szCs w:val="24"/>
                <w:lang w:val="en-US" w:eastAsia="zh-CN"/>
              </w:rPr>
              <w:t>针对该公司检查中发现的问题，厦门市市场监督管理局应督促企业限期整改，必要时跟踪复查，并要求企业评估产品安全风险，对有可能导致安全隐患的，应按照《医疗器械召回管理办法》的规定召回相关产品。企业完成整改后，厦门市市场监督管理局应将相关情况及时上报省局医疗器械处。</w:t>
            </w:r>
          </w:p>
        </w:tc>
      </w:tr>
    </w:tbl>
    <w:p>
      <w:pPr>
        <w:widowControl/>
        <w:spacing w:before="100" w:beforeAutospacing="1" w:after="100" w:afterAutospacing="1" w:line="280" w:lineRule="exact"/>
        <w:jc w:val="left"/>
        <w:rPr>
          <w:rFonts w:ascii="仿宋_GB2312" w:hAnsi="仿宋_GB2312" w:eastAsia="仿宋_GB2312" w:cs="仿宋_GB2312"/>
          <w:sz w:val="28"/>
          <w:szCs w:val="28"/>
        </w:rPr>
      </w:pPr>
    </w:p>
    <w:p>
      <w:pPr>
        <w:spacing w:line="500" w:lineRule="exact"/>
        <w:rPr>
          <w:rFonts w:ascii="仿宋" w:eastAsia="仿宋"/>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6237CB"/>
    <w:rsid w:val="0005702F"/>
    <w:rsid w:val="00064C15"/>
    <w:rsid w:val="000B5BF7"/>
    <w:rsid w:val="00100FF0"/>
    <w:rsid w:val="001A4592"/>
    <w:rsid w:val="002B55D5"/>
    <w:rsid w:val="002D0680"/>
    <w:rsid w:val="002E656D"/>
    <w:rsid w:val="003306DD"/>
    <w:rsid w:val="003401C6"/>
    <w:rsid w:val="00346476"/>
    <w:rsid w:val="003806C1"/>
    <w:rsid w:val="003B665C"/>
    <w:rsid w:val="003C5A29"/>
    <w:rsid w:val="003C665B"/>
    <w:rsid w:val="004323F7"/>
    <w:rsid w:val="00446FE8"/>
    <w:rsid w:val="00541837"/>
    <w:rsid w:val="00542CF5"/>
    <w:rsid w:val="00555DD6"/>
    <w:rsid w:val="00582E38"/>
    <w:rsid w:val="00594456"/>
    <w:rsid w:val="005A496C"/>
    <w:rsid w:val="00634F0C"/>
    <w:rsid w:val="00656DBE"/>
    <w:rsid w:val="00755365"/>
    <w:rsid w:val="0079737A"/>
    <w:rsid w:val="007A1898"/>
    <w:rsid w:val="008201D8"/>
    <w:rsid w:val="008547F1"/>
    <w:rsid w:val="00881EF0"/>
    <w:rsid w:val="00894D1C"/>
    <w:rsid w:val="008C19F0"/>
    <w:rsid w:val="008D7794"/>
    <w:rsid w:val="008E3927"/>
    <w:rsid w:val="008E754A"/>
    <w:rsid w:val="009367CD"/>
    <w:rsid w:val="00957F91"/>
    <w:rsid w:val="00A20EAB"/>
    <w:rsid w:val="00A53A7E"/>
    <w:rsid w:val="00A61DAB"/>
    <w:rsid w:val="00B27297"/>
    <w:rsid w:val="00B962B7"/>
    <w:rsid w:val="00BC4D52"/>
    <w:rsid w:val="00C12D2E"/>
    <w:rsid w:val="00C66F90"/>
    <w:rsid w:val="00C74E51"/>
    <w:rsid w:val="00CB1182"/>
    <w:rsid w:val="00CE12AB"/>
    <w:rsid w:val="00D22B4B"/>
    <w:rsid w:val="00D42D6F"/>
    <w:rsid w:val="00D44909"/>
    <w:rsid w:val="00D53DBC"/>
    <w:rsid w:val="00D74476"/>
    <w:rsid w:val="00D74C68"/>
    <w:rsid w:val="00D937F8"/>
    <w:rsid w:val="00F101B2"/>
    <w:rsid w:val="00F20E63"/>
    <w:rsid w:val="00F54664"/>
    <w:rsid w:val="00FD428D"/>
    <w:rsid w:val="03543EFA"/>
    <w:rsid w:val="05E668E6"/>
    <w:rsid w:val="06F93970"/>
    <w:rsid w:val="0A204B50"/>
    <w:rsid w:val="0C1542DE"/>
    <w:rsid w:val="153132DD"/>
    <w:rsid w:val="16E27477"/>
    <w:rsid w:val="24EA7DE4"/>
    <w:rsid w:val="293811C2"/>
    <w:rsid w:val="408527BB"/>
    <w:rsid w:val="433C174C"/>
    <w:rsid w:val="436237CB"/>
    <w:rsid w:val="47967063"/>
    <w:rsid w:val="4ADC21F2"/>
    <w:rsid w:val="4D922F80"/>
    <w:rsid w:val="5D3C4433"/>
    <w:rsid w:val="62D408E1"/>
    <w:rsid w:val="642B768B"/>
    <w:rsid w:val="74DB0D19"/>
    <w:rsid w:val="752D5B75"/>
    <w:rsid w:val="7CBB4E7C"/>
    <w:rsid w:val="7E120BE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070B8-BC73-445E-AF2E-8840539C637C}">
  <ds:schemaRefs/>
</ds:datastoreItem>
</file>

<file path=docProps/app.xml><?xml version="1.0" encoding="utf-8"?>
<Properties xmlns="http://schemas.openxmlformats.org/officeDocument/2006/extended-properties" xmlns:vt="http://schemas.openxmlformats.org/officeDocument/2006/docPropsVTypes">
  <Template>Normal</Template>
  <Pages>5</Pages>
  <Words>485</Words>
  <Characters>2767</Characters>
  <Lines>23</Lines>
  <Paragraphs>6</Paragraphs>
  <ScaleCrop>false</ScaleCrop>
  <LinksUpToDate>false</LinksUpToDate>
  <CharactersWithSpaces>3246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2007-05-03T15:51:00Z</dcterms:created>
  <dc:creator>lenovo</dc:creator>
  <cp:lastModifiedBy>lenovo</cp:lastModifiedBy>
  <cp:lastPrinted>2018-08-06T02:35:00Z</cp:lastPrinted>
  <dcterms:modified xsi:type="dcterms:W3CDTF">2018-08-07T03:35:03Z</dcterms:modified>
  <dc:title>医疗器械现场监督检查工作规程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