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不符合规定项目的小知识</w:t>
      </w:r>
    </w:p>
    <w:bookmarkEnd w:id="0"/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二氧化硫残留量</w:t>
      </w:r>
      <w:r>
        <w:rPr>
          <w:rFonts w:hint="eastAsia" w:eastAsia="仿宋_GB2312"/>
          <w:sz w:val="32"/>
          <w:szCs w:val="32"/>
          <w:lang w:val="en-US" w:eastAsia="zh-CN"/>
        </w:rPr>
        <w:t>是药品中残留二氧化硫高低的指标，二氧化硫残留量偏高</w:t>
      </w:r>
      <w:r>
        <w:rPr>
          <w:rFonts w:hint="eastAsia" w:eastAsia="仿宋_GB2312"/>
          <w:sz w:val="32"/>
          <w:szCs w:val="32"/>
        </w:rPr>
        <w:t>通常与中药材粗加工过程中滥用或者过度使用硫黄熏蒸等因素有关。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挥发油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类成分是青翘最主要成分之一。挥发油偏低通常与连翘的采收时间、加工温度、工艺等因素有关。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叶</w:t>
      </w:r>
      <w:r>
        <w:rPr>
          <w:rFonts w:hint="eastAsia" w:eastAsia="仿宋_GB2312"/>
          <w:sz w:val="32"/>
          <w:szCs w:val="32"/>
          <w:lang w:eastAsia="zh-CN"/>
        </w:rPr>
        <w:t>系指中药饮片中叶的含量占比，叶含量偏低可能与采摘的时间有关。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b/>
          <w:bCs/>
          <w:sz w:val="32"/>
          <w:szCs w:val="32"/>
        </w:rPr>
        <w:t>总灰分</w:t>
      </w:r>
      <w:r>
        <w:rPr>
          <w:rFonts w:eastAsia="仿宋_GB2312"/>
          <w:sz w:val="32"/>
          <w:szCs w:val="32"/>
        </w:rPr>
        <w:t>测定的目的是检测中药的纯净程度。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b/>
          <w:bCs/>
          <w:sz w:val="32"/>
          <w:szCs w:val="32"/>
        </w:rPr>
        <w:t>酸不溶性灰分</w:t>
      </w:r>
      <w:r>
        <w:rPr>
          <w:rFonts w:eastAsia="仿宋_GB2312"/>
          <w:sz w:val="32"/>
          <w:szCs w:val="32"/>
        </w:rPr>
        <w:t>指标主要用于检测中药中泥土、沙石等杂质的含量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b/>
          <w:bCs/>
          <w:sz w:val="32"/>
          <w:szCs w:val="32"/>
        </w:rPr>
        <w:t>溶出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度</w:t>
      </w:r>
      <w:r>
        <w:rPr>
          <w:rFonts w:eastAsia="仿宋_GB2312"/>
          <w:sz w:val="32"/>
          <w:szCs w:val="32"/>
        </w:rPr>
        <w:t>系反映活性药物从制剂中溶出程度的指标，不符合规定会影响药物的吸收，降低生物利用度。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水分</w:t>
      </w:r>
      <w:r>
        <w:rPr>
          <w:rFonts w:hint="eastAsia" w:eastAsia="仿宋_GB2312"/>
          <w:sz w:val="32"/>
          <w:szCs w:val="32"/>
        </w:rPr>
        <w:t>系指药品中的含水量。水分偏高通常与工艺、包装不当以及储运环境等因素有关。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含量测定</w:t>
      </w:r>
      <w:r>
        <w:rPr>
          <w:rFonts w:eastAsia="仿宋_GB2312"/>
          <w:sz w:val="32"/>
          <w:szCs w:val="32"/>
        </w:rPr>
        <w:t>系指用规定的试验方法测定原料及制剂中有效成分的含量，一般可采用化学、仪器或生物测定方法。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96FC7"/>
    <w:multiLevelType w:val="singleLevel"/>
    <w:tmpl w:val="DEF96F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TgwZjU4YzBmNDVmODNlMDNjZjRkYWI2YzEzMDgifQ=="/>
  </w:docVars>
  <w:rsids>
    <w:rsidRoot w:val="00172A27"/>
    <w:rsid w:val="0159681E"/>
    <w:rsid w:val="02957444"/>
    <w:rsid w:val="02EB04E5"/>
    <w:rsid w:val="048F29B2"/>
    <w:rsid w:val="0A011983"/>
    <w:rsid w:val="0A1C6440"/>
    <w:rsid w:val="0CBE773F"/>
    <w:rsid w:val="0CD16941"/>
    <w:rsid w:val="0D767A51"/>
    <w:rsid w:val="107F5B05"/>
    <w:rsid w:val="10F579B5"/>
    <w:rsid w:val="114622F5"/>
    <w:rsid w:val="11904838"/>
    <w:rsid w:val="193D0DB7"/>
    <w:rsid w:val="19F30A04"/>
    <w:rsid w:val="19F4DD83"/>
    <w:rsid w:val="1F645556"/>
    <w:rsid w:val="201A6176"/>
    <w:rsid w:val="245420D1"/>
    <w:rsid w:val="29F3C33B"/>
    <w:rsid w:val="2DA77004"/>
    <w:rsid w:val="2E190B82"/>
    <w:rsid w:val="325C433C"/>
    <w:rsid w:val="33701470"/>
    <w:rsid w:val="33C6540D"/>
    <w:rsid w:val="366063C8"/>
    <w:rsid w:val="37B94D1E"/>
    <w:rsid w:val="3BB8681B"/>
    <w:rsid w:val="3CC279DB"/>
    <w:rsid w:val="3DC24ECD"/>
    <w:rsid w:val="3E7D595C"/>
    <w:rsid w:val="3F66BE4A"/>
    <w:rsid w:val="3FCE574B"/>
    <w:rsid w:val="41004B26"/>
    <w:rsid w:val="41891929"/>
    <w:rsid w:val="436F3E6C"/>
    <w:rsid w:val="43B230F3"/>
    <w:rsid w:val="45154602"/>
    <w:rsid w:val="45D0180A"/>
    <w:rsid w:val="468E4B52"/>
    <w:rsid w:val="46BE437D"/>
    <w:rsid w:val="4A6E360F"/>
    <w:rsid w:val="4D935A6D"/>
    <w:rsid w:val="4F9455DE"/>
    <w:rsid w:val="4FB7B489"/>
    <w:rsid w:val="577E1DA0"/>
    <w:rsid w:val="5984131C"/>
    <w:rsid w:val="59850700"/>
    <w:rsid w:val="5C1B0174"/>
    <w:rsid w:val="5C2A5EAF"/>
    <w:rsid w:val="5E676075"/>
    <w:rsid w:val="5E7F7C8D"/>
    <w:rsid w:val="6089283F"/>
    <w:rsid w:val="62857259"/>
    <w:rsid w:val="65FFC094"/>
    <w:rsid w:val="66C34912"/>
    <w:rsid w:val="69027EFA"/>
    <w:rsid w:val="6A1A7E0D"/>
    <w:rsid w:val="6D1B39A1"/>
    <w:rsid w:val="6F4F7F3C"/>
    <w:rsid w:val="6FAB430E"/>
    <w:rsid w:val="797D7340"/>
    <w:rsid w:val="7C802EF4"/>
    <w:rsid w:val="7EEF68FA"/>
    <w:rsid w:val="7F8B15A9"/>
    <w:rsid w:val="7F8B4800"/>
    <w:rsid w:val="7FDBA98D"/>
    <w:rsid w:val="7FEE9B07"/>
    <w:rsid w:val="7FFF8DE0"/>
    <w:rsid w:val="AC2F73BD"/>
    <w:rsid w:val="AEBC84B7"/>
    <w:rsid w:val="BEEF5DB1"/>
    <w:rsid w:val="BF5BD429"/>
    <w:rsid w:val="BFEFF9AA"/>
    <w:rsid w:val="DB9C1368"/>
    <w:rsid w:val="DFAF8591"/>
    <w:rsid w:val="E1DEAF94"/>
    <w:rsid w:val="EDE5479E"/>
    <w:rsid w:val="F7BF1892"/>
    <w:rsid w:val="FB676576"/>
    <w:rsid w:val="FEFF6618"/>
    <w:rsid w:val="FFDF75D1"/>
    <w:rsid w:val="FFFFD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qFormat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12">
    <w:name w:val="font01"/>
    <w:basedOn w:val="6"/>
    <w:qFormat/>
    <w:uiPriority w:val="0"/>
    <w:rPr>
      <w:rFonts w:hint="eastAsia" w:ascii="文泉驿微米黑" w:hAnsi="文泉驿微米黑" w:eastAsia="文泉驿微米黑" w:cs="文泉驿微米黑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51"/>
    <w:basedOn w:val="6"/>
    <w:qFormat/>
    <w:uiPriority w:val="0"/>
    <w:rPr>
      <w:rFonts w:hint="eastAsia" w:ascii="文泉驿微米黑" w:hAnsi="文泉驿微米黑" w:eastAsia="文泉驿微米黑" w:cs="文泉驿微米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243</Characters>
  <Lines>0</Lines>
  <Paragraphs>0</Paragraphs>
  <TotalTime>2</TotalTime>
  <ScaleCrop>false</ScaleCrop>
  <LinksUpToDate>false</LinksUpToDate>
  <CharactersWithSpaces>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2021-06-28T18:02:00Z</dcterms:created>
  <dc:creator>廖茜/fjfda</dc:creator>
  <cp:lastModifiedBy>李冬</cp:lastModifiedBy>
  <dcterms:modified xsi:type="dcterms:W3CDTF">2023-09-27T01:11:40Z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844A9427213A4AE4A0C284CBAA61956B_13</vt:lpwstr>
  </property>
</Properties>
</file>