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Spec="center" w:tblpY="529"/>
        <w:tblOverlap w:val="never"/>
        <w:tblW w:w="14740" w:type="dxa"/>
        <w:jc w:val="center"/>
        <w:tblInd w:w="-263" w:type="dxa"/>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654"/>
        <w:gridCol w:w="612"/>
        <w:gridCol w:w="600"/>
        <w:gridCol w:w="615"/>
        <w:gridCol w:w="600"/>
        <w:gridCol w:w="600"/>
        <w:gridCol w:w="600"/>
        <w:gridCol w:w="660"/>
        <w:gridCol w:w="630"/>
        <w:gridCol w:w="570"/>
        <w:gridCol w:w="615"/>
        <w:gridCol w:w="645"/>
        <w:gridCol w:w="570"/>
        <w:gridCol w:w="600"/>
        <w:gridCol w:w="600"/>
        <w:gridCol w:w="585"/>
        <w:gridCol w:w="4984"/>
      </w:tblGrid>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90" w:hRule="atLeast"/>
          <w:jc w:val="center"/>
        </w:trPr>
        <w:tc>
          <w:tcPr>
            <w:tcW w:w="14740" w:type="dxa"/>
            <w:gridSpan w:val="17"/>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723" w:firstLineChars="200"/>
              <w:jc w:val="both"/>
              <w:textAlignment w:val="auto"/>
              <w:outlineLvl w:val="9"/>
              <w:rPr>
                <w:rFonts w:hint="eastAsia" w:ascii="仿宋_GB2312" w:hAnsi="仿宋_GB2312" w:eastAsia="仿宋_GB2312"/>
                <w:sz w:val="18"/>
                <w:szCs w:val="18"/>
                <w:lang w:val="en-US" w:eastAsia="zh-CN"/>
              </w:rPr>
            </w:pPr>
            <w:r>
              <w:rPr>
                <w:rFonts w:hint="eastAsia" w:ascii="仿宋_GB2312" w:hAnsi="仿宋_GB2312" w:eastAsia="仿宋_GB2312"/>
                <w:b/>
                <w:bCs/>
                <w:sz w:val="36"/>
                <w:szCs w:val="36"/>
                <w:lang w:val="en-US" w:eastAsia="zh-CN"/>
              </w:rPr>
              <w:t xml:space="preserve">附件6                </w:t>
            </w:r>
            <w:bookmarkStart w:id="0" w:name="_GoBack"/>
            <w:bookmarkEnd w:id="0"/>
            <w:r>
              <w:rPr>
                <w:rFonts w:hint="eastAsia" w:ascii="仿宋_GB2312" w:hAnsi="仿宋_GB2312" w:eastAsia="仿宋_GB2312"/>
                <w:b/>
                <w:bCs/>
                <w:sz w:val="36"/>
                <w:szCs w:val="36"/>
                <w:lang w:val="en-US" w:eastAsia="zh-CN"/>
              </w:rPr>
              <w:t>2017年上半年监管工作统计表</w:t>
            </w: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90" w:hRule="atLeast"/>
          <w:jc w:val="center"/>
        </w:trPr>
        <w:tc>
          <w:tcPr>
            <w:tcW w:w="65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业务</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仿宋_GB2312" w:hAnsi="仿宋_GB2312" w:eastAsia="仿宋_GB2312"/>
                <w:sz w:val="21"/>
                <w:szCs w:val="21"/>
                <w:lang w:val="en-US" w:eastAsia="zh-CN"/>
              </w:rPr>
            </w:pPr>
            <w:r>
              <w:rPr>
                <w:rFonts w:hint="default" w:ascii="仿宋_GB2312" w:hAnsi="仿宋_GB2312" w:eastAsia="仿宋_GB2312"/>
                <w:sz w:val="21"/>
                <w:szCs w:val="21"/>
                <w:lang w:val="en-US" w:eastAsia="zh-CN"/>
              </w:rPr>
              <w:t>处室</w:t>
            </w:r>
          </w:p>
        </w:tc>
        <w:tc>
          <w:tcPr>
            <w:tcW w:w="1827"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检查频次及家数</w:t>
            </w:r>
          </w:p>
        </w:tc>
        <w:tc>
          <w:tcPr>
            <w:tcW w:w="1800"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责令停产停业</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家数</w:t>
            </w:r>
          </w:p>
        </w:tc>
        <w:tc>
          <w:tcPr>
            <w:tcW w:w="1860"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收回或撤销GSP、GMP证书家数，吊销许可证</w:t>
            </w:r>
          </w:p>
        </w:tc>
        <w:tc>
          <w:tcPr>
            <w:tcW w:w="1830"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移交线索数</w:t>
            </w:r>
          </w:p>
        </w:tc>
        <w:tc>
          <w:tcPr>
            <w:tcW w:w="1785"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案件数</w:t>
            </w:r>
          </w:p>
        </w:tc>
        <w:tc>
          <w:tcPr>
            <w:tcW w:w="498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下一阶段措施</w:t>
            </w: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90"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61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2016</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全年</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2016</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上半年</w:t>
            </w:r>
          </w:p>
        </w:tc>
        <w:tc>
          <w:tcPr>
            <w:tcW w:w="61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2017</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上半年</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2016</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全年</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2016</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上半年</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2017</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上半年</w:t>
            </w:r>
          </w:p>
        </w:tc>
        <w:tc>
          <w:tcPr>
            <w:tcW w:w="66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2016</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全年</w:t>
            </w:r>
          </w:p>
        </w:tc>
        <w:tc>
          <w:tcPr>
            <w:tcW w:w="63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2016</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上半年</w:t>
            </w:r>
          </w:p>
        </w:tc>
        <w:tc>
          <w:tcPr>
            <w:tcW w:w="57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2017</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上半年</w:t>
            </w:r>
          </w:p>
        </w:tc>
        <w:tc>
          <w:tcPr>
            <w:tcW w:w="61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2016</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全年</w:t>
            </w:r>
          </w:p>
        </w:tc>
        <w:tc>
          <w:tcPr>
            <w:tcW w:w="64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2016</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上半年</w:t>
            </w:r>
          </w:p>
        </w:tc>
        <w:tc>
          <w:tcPr>
            <w:tcW w:w="57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2017</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上半年</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2016</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全年</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2016</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上半年</w:t>
            </w:r>
          </w:p>
        </w:tc>
        <w:tc>
          <w:tcPr>
            <w:tcW w:w="58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2017</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上半年</w:t>
            </w: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食品</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生产</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安全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ascii="仿宋_GB2312" w:hAnsi="仿宋_GB2312" w:eastAsia="仿宋_GB2312"/>
                <w:sz w:val="21"/>
                <w:szCs w:val="21"/>
                <w:lang w:val="en-US" w:eastAsia="zh-CN"/>
              </w:rPr>
            </w:pPr>
            <w:r>
              <w:rPr>
                <w:rFonts w:hint="default" w:ascii="仿宋_GB2312" w:hAnsi="仿宋_GB2312" w:eastAsia="仿宋_GB2312"/>
                <w:sz w:val="21"/>
                <w:szCs w:val="21"/>
                <w:lang w:val="en-US" w:eastAsia="zh-CN"/>
              </w:rPr>
              <w:t>监管处</w:t>
            </w:r>
          </w:p>
        </w:tc>
        <w:tc>
          <w:tcPr>
            <w:tcW w:w="612"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eastAsia"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129</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23</w:t>
            </w: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31</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55</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6</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18</w:t>
            </w:r>
          </w:p>
        </w:tc>
        <w:tc>
          <w:tcPr>
            <w:tcW w:w="66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3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57</w:t>
            </w:r>
          </w:p>
        </w:tc>
        <w:tc>
          <w:tcPr>
            <w:tcW w:w="64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w:t>
            </w: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9</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57</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w:t>
            </w:r>
          </w:p>
        </w:tc>
        <w:tc>
          <w:tcPr>
            <w:tcW w:w="58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9</w:t>
            </w:r>
          </w:p>
        </w:tc>
        <w:tc>
          <w:tcPr>
            <w:tcW w:w="498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1.7月10日-13日开展食品生产企业风险排查整治工作督导检查，拟检查企业3家，正在开展。2.7月14日开展供厦门会议加工食品生产企业监督检查，拟检查企业1家，方案已报批。3.7月17日-31日开展行政许可工作监督检查，拟检查食品生产企业4家次，方案正在报批。4.8月-12月结合风险排查情况，对全省食品生产企业继续开展“双随机一公开”检查，检查企业不少于10家次（其中开展蜂蜜产品生产企业监督检查，拟检查生产企业不少于2家）。</w:t>
            </w: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食品流通安全监管处</w:t>
            </w:r>
          </w:p>
        </w:tc>
        <w:tc>
          <w:tcPr>
            <w:tcW w:w="612"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173</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26</w:t>
            </w: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51</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6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3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243</w:t>
            </w:r>
          </w:p>
        </w:tc>
        <w:tc>
          <w:tcPr>
            <w:tcW w:w="64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0</w:t>
            </w: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59</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8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920" w:lineRule="auto"/>
              <w:ind w:left="0" w:leftChars="0"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498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1.7月份，赴福州、莆田开展按照安全生产专项监督检查。2.8月份，食用农产品批发市场落实国家总局20号令情况的监督检查。3.9月份，一是开展许可办法执行情况专项监督检查；二是畜禽水产品专项整治监督检查。4.10月份，对打击非法销售病死畜禽、水产品质量安全、菜市场食品安全等3项专项整治的开展情况开展监督检查。5.11-12月份，开展“双随机”检查</w:t>
            </w: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餐饮服务食品监督处</w:t>
            </w:r>
          </w:p>
        </w:tc>
        <w:tc>
          <w:tcPr>
            <w:tcW w:w="612"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982</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695</w:t>
            </w: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218</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6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3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4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8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498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拟于第三季度、第四季度各对15家餐饮服务单位进行“双随机一公开”日常监督检查；2.结合双随机检查及飞行检查工作，拟于8-9月开展15家厦门会晤涉会餐饮服务单位检查，切实做好厦门会晤餐饮食品安全保障工作；3.拟于10月对地市开展学校及周边食品安全专项整治工作进行督查，检查学校食堂及校园周边餐饮服务单位10家；4.拟于12月对地市开展“小餐饮”食品安全治理工作进行督查，检查小餐饮单位20家。</w:t>
            </w: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药品生产监管处</w:t>
            </w:r>
          </w:p>
        </w:tc>
        <w:tc>
          <w:tcPr>
            <w:tcW w:w="612"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46</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16</w:t>
            </w: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14</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0</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0</w:t>
            </w:r>
          </w:p>
        </w:tc>
        <w:tc>
          <w:tcPr>
            <w:tcW w:w="66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3</w:t>
            </w:r>
          </w:p>
        </w:tc>
        <w:tc>
          <w:tcPr>
            <w:tcW w:w="63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w:t>
            </w: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w:t>
            </w: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w:t>
            </w:r>
          </w:p>
        </w:tc>
        <w:tc>
          <w:tcPr>
            <w:tcW w:w="64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w:t>
            </w: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58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498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1.7月24日-28日，对漳州、龙岩、厦门的6家药品生产企业开展日常监督检查和安全生产专项督查。2.8月7日-11日，对2家特殊药品生产经营企业开展检查，重点检查是否按照特殊药品管理规范进行生产经营。3.8月份-11月份，拟对20家药品生产企业开展“双随机一公开”日常监督检查，进一步规范药品生产行为。</w:t>
            </w:r>
            <w:r>
              <w:rPr>
                <w:rFonts w:hint="default" w:ascii="仿宋_GB2312" w:hAnsi="仿宋_GB2312" w:eastAsia="仿宋_GB2312"/>
                <w:sz w:val="21"/>
                <w:szCs w:val="21"/>
                <w:lang w:val="en-US" w:eastAsia="zh-CN"/>
              </w:rPr>
              <w:br w:type="textWrapping"/>
            </w:r>
            <w:r>
              <w:rPr>
                <w:rFonts w:hint="default" w:ascii="仿宋_GB2312" w:hAnsi="仿宋_GB2312" w:eastAsia="仿宋_GB2312"/>
                <w:sz w:val="21"/>
                <w:szCs w:val="21"/>
                <w:lang w:val="en-US" w:eastAsia="zh-CN"/>
              </w:rPr>
              <w:t>4.8月份-12月份，拟对5-10家药品生产企业开展飞行检查和“回头看”，目前正在制定检查方案。</w:t>
            </w: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药品流通监管处</w:t>
            </w:r>
          </w:p>
        </w:tc>
        <w:tc>
          <w:tcPr>
            <w:tcW w:w="612"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83</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31</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6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收回26家、撤销2家</w:t>
            </w:r>
          </w:p>
        </w:tc>
        <w:tc>
          <w:tcPr>
            <w:tcW w:w="63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撤销3家</w:t>
            </w: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28</w:t>
            </w:r>
          </w:p>
        </w:tc>
        <w:tc>
          <w:tcPr>
            <w:tcW w:w="64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4</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8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仿宋_GB2312" w:hAnsi="仿宋_GB2312" w:eastAsia="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498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1.7月中下旬，对福州的2家第三方物流批发企业开展专项检查，着重检查企业的代储代运的管控水平和安全生产情况。2.7月下旬开展对厦门药品批发企业“双随机一公开”飞行检查，着重检查规范经营和安全生产，拟随机抽取4家批发企业。3.8月对宁德的药品批发企业“双随机一公开”飞行检查，着重检查规范经营和安全生产，拟随机抽取2家批发企业。4.8月或9月对4家疫苗委托储存配送企业开展监督检查。5.9月初，对厦门会议的“四环”区域泉州、漳州、厦门开展巡查，确保厦门会议的顺利召开。6.10月-11月，对部分设区市开展的“城乡接合部和农村地区药店诊所药品质量安全集中整治”和“药品流通领域安全风险和重点问题排查整治专项行动”工作进行督查。7.12月总结提升全年工作，谋划2018年工作。</w:t>
            </w: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医疗器械监管处</w:t>
            </w:r>
          </w:p>
        </w:tc>
        <w:tc>
          <w:tcPr>
            <w:tcW w:w="612"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38</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12</w:t>
            </w: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17</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w:t>
            </w:r>
          </w:p>
        </w:tc>
        <w:tc>
          <w:tcPr>
            <w:tcW w:w="66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3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1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w:t>
            </w:r>
          </w:p>
        </w:tc>
        <w:tc>
          <w:tcPr>
            <w:tcW w:w="64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w:t>
            </w:r>
          </w:p>
        </w:tc>
        <w:tc>
          <w:tcPr>
            <w:tcW w:w="57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w:t>
            </w:r>
          </w:p>
        </w:tc>
        <w:tc>
          <w:tcPr>
            <w:tcW w:w="600"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8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w:t>
            </w:r>
          </w:p>
        </w:tc>
        <w:tc>
          <w:tcPr>
            <w:tcW w:w="4984"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1.7月17至21日拟对10家使用单位进行“双随机一公开”日常监督检查。方案已呈批。2.7月31至10月31日组织对30家经营单位开展飞行检查。12月抽查10家经营单位进行“回头看”。正在制定具体方案。3.8月份对各地市全年工作开展情况进行督查，并抽查3-5家生产企业进行日常检查。4.10月份开展5个品种的临床实验数据真实性进行核查。已发公告。</w:t>
            </w: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312" w:hRule="atLeast"/>
          <w:jc w:val="center"/>
        </w:trPr>
        <w:tc>
          <w:tcPr>
            <w:tcW w:w="65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2"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6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3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4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7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600"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58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c>
          <w:tcPr>
            <w:tcW w:w="4984"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966" w:hRule="atLeast"/>
          <w:jc w:val="center"/>
        </w:trPr>
        <w:tc>
          <w:tcPr>
            <w:tcW w:w="65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稽查处（注：系统）</w:t>
            </w:r>
          </w:p>
        </w:tc>
        <w:tc>
          <w:tcPr>
            <w:tcW w:w="61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center"/>
              <w:textAlignment w:val="auto"/>
              <w:outlineLvl w:val="9"/>
              <w:rPr>
                <w:rFonts w:hint="default" w:ascii="仿宋_GB2312" w:hAnsi="仿宋_GB2312" w:eastAsia="仿宋_GB2312"/>
                <w:sz w:val="21"/>
                <w:szCs w:val="21"/>
                <w:lang w:val="en-US" w:eastAsia="zh-CN"/>
              </w:rPr>
            </w:pPr>
          </w:p>
        </w:tc>
        <w:tc>
          <w:tcPr>
            <w:tcW w:w="61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61</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36</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52</w:t>
            </w:r>
          </w:p>
        </w:tc>
        <w:tc>
          <w:tcPr>
            <w:tcW w:w="66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吊销许可证1家</w:t>
            </w:r>
          </w:p>
        </w:tc>
        <w:tc>
          <w:tcPr>
            <w:tcW w:w="63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0</w:t>
            </w:r>
          </w:p>
        </w:tc>
        <w:tc>
          <w:tcPr>
            <w:tcW w:w="57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吊销许可证4家</w:t>
            </w:r>
          </w:p>
        </w:tc>
        <w:tc>
          <w:tcPr>
            <w:tcW w:w="61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155</w:t>
            </w:r>
          </w:p>
        </w:tc>
        <w:tc>
          <w:tcPr>
            <w:tcW w:w="64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69</w:t>
            </w:r>
          </w:p>
        </w:tc>
        <w:tc>
          <w:tcPr>
            <w:tcW w:w="57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47</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4633</w:t>
            </w:r>
          </w:p>
        </w:tc>
        <w:tc>
          <w:tcPr>
            <w:tcW w:w="60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1732</w:t>
            </w:r>
          </w:p>
        </w:tc>
        <w:tc>
          <w:tcPr>
            <w:tcW w:w="58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2745</w:t>
            </w:r>
          </w:p>
        </w:tc>
        <w:tc>
          <w:tcPr>
            <w:tcW w:w="4984"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做好恒信乐健（厦门）生物技术有限公司生产经营致病性微生物超过食品安全标准限量及标注虚假日期的婴儿配方奶粉案件的查处工作。目前该案已完成集体讨论，计划于8月前做出吊销食品生产许可证的行政处罚决定。2.加强案件督办指导。在8月前对全省各地上半年按一般程序处罚案件情况进行一次通报，督促各地加大办案力度，提高办案质量。3.行政处罚信息、抽检信息双公开工作常态化。按月收集各地上报的行政处罚案件公开信息，及时更新至省局网站数据库。加大抽检信息公开力度，根据抽检进度，不定期发布抽检信息公告。4.持续推进食品抽检监测工作，7月底月前完成2017年上半年食品安全抽检情况通报，10月底前完成第三季度食品安全抽检情况分析报告，2018年初完成2017年全年食品安全抽检情况分析报告。5.继续开展承检机构考核评价，目前已完成第二季度承检机构考核方案制定，拟于8月完成对承检机构的飞行检查。</w:t>
            </w:r>
          </w:p>
        </w:tc>
      </w:tr>
      <w:tr>
        <w:tblPrEx>
          <w:tblBorders>
            <w:top w:val="single" w:color="000000" w:sz="4" w:space="0"/>
            <w:left w:val="single" w:color="000000" w:sz="4" w:space="0"/>
            <w:bottom w:val="single" w:color="000000" w:sz="12"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6" w:hRule="atLeast"/>
          <w:jc w:val="center"/>
        </w:trPr>
        <w:tc>
          <w:tcPr>
            <w:tcW w:w="654"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保化安全监管处</w:t>
            </w:r>
          </w:p>
        </w:tc>
        <w:tc>
          <w:tcPr>
            <w:tcW w:w="612"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150家（换证70家，抽查80家保化生产经营企业）、国产非特备案后检查320件</w:t>
            </w:r>
          </w:p>
        </w:tc>
        <w:tc>
          <w:tcPr>
            <w:tcW w:w="600"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25家（换证5家，抽查20家保化生产经营企业），国产非特备案后检查160件</w:t>
            </w:r>
          </w:p>
        </w:tc>
        <w:tc>
          <w:tcPr>
            <w:tcW w:w="615"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29家保化生产经营企业、国产非特备案后检查200件</w:t>
            </w:r>
          </w:p>
        </w:tc>
        <w:tc>
          <w:tcPr>
            <w:tcW w:w="600"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00"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p>
        </w:tc>
        <w:tc>
          <w:tcPr>
            <w:tcW w:w="600"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责令33家及22件非特备案件整改，73家未换领化妆品生产许可证企业不得生产</w:t>
            </w:r>
          </w:p>
        </w:tc>
        <w:tc>
          <w:tcPr>
            <w:tcW w:w="660"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30"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p>
        </w:tc>
        <w:tc>
          <w:tcPr>
            <w:tcW w:w="570"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15"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w:t>
            </w:r>
          </w:p>
        </w:tc>
        <w:tc>
          <w:tcPr>
            <w:tcW w:w="645"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p>
        </w:tc>
        <w:tc>
          <w:tcPr>
            <w:tcW w:w="570"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r>
              <w:rPr>
                <w:rFonts w:hint="eastAsia" w:ascii="仿宋_GB2312" w:hAnsi="仿宋_GB2312" w:eastAsia="仿宋_GB2312"/>
                <w:sz w:val="21"/>
                <w:szCs w:val="21"/>
                <w:lang w:val="en-US" w:eastAsia="zh-CN"/>
              </w:rPr>
              <w:t>1</w:t>
            </w:r>
          </w:p>
        </w:tc>
        <w:tc>
          <w:tcPr>
            <w:tcW w:w="600" w:type="dxa"/>
            <w:tcBorders>
              <w:tl2br w:val="nil"/>
              <w:tr2bl w:val="nil"/>
            </w:tcBorders>
            <w:shd w:val="clear" w:color="auto" w:fill="auto"/>
            <w:vAlign w:val="center"/>
          </w:tcPr>
          <w:p>
            <w:pPr>
              <w:jc w:val="center"/>
              <w:rPr>
                <w:rFonts w:hint="default" w:ascii="仿宋_GB2312" w:hAnsi="仿宋_GB2312" w:eastAsia="仿宋_GB2312"/>
                <w:b w:val="0"/>
                <w:bCs w:val="0"/>
                <w:sz w:val="21"/>
                <w:szCs w:val="21"/>
                <w:lang w:val="en-US" w:eastAsia="zh-CN"/>
              </w:rPr>
            </w:pPr>
            <w:r>
              <w:rPr>
                <w:rFonts w:hint="default" w:ascii="仿宋_GB2312" w:hAnsi="仿宋_GB2312" w:eastAsia="仿宋_GB2312"/>
                <w:b w:val="0"/>
                <w:bCs w:val="0"/>
                <w:sz w:val="21"/>
                <w:szCs w:val="21"/>
                <w:lang w:val="en-US" w:eastAsia="zh-CN"/>
              </w:rPr>
              <w:t>/</w:t>
            </w:r>
          </w:p>
        </w:tc>
        <w:tc>
          <w:tcPr>
            <w:tcW w:w="600" w:type="dxa"/>
            <w:tcBorders>
              <w:tl2br w:val="nil"/>
              <w:tr2bl w:val="nil"/>
            </w:tcBorders>
            <w:shd w:val="clear" w:color="auto" w:fill="auto"/>
            <w:vAlign w:val="center"/>
          </w:tcPr>
          <w:p>
            <w:pPr>
              <w:jc w:val="center"/>
              <w:rPr>
                <w:rFonts w:hint="default" w:ascii="仿宋_GB2312" w:hAnsi="仿宋_GB2312" w:eastAsia="仿宋_GB2312"/>
                <w:sz w:val="21"/>
                <w:szCs w:val="21"/>
                <w:lang w:val="en-US" w:eastAsia="zh-CN"/>
              </w:rPr>
            </w:pPr>
          </w:p>
        </w:tc>
        <w:tc>
          <w:tcPr>
            <w:tcW w:w="585" w:type="dxa"/>
            <w:tcBorders>
              <w:tl2br w:val="nil"/>
              <w:tr2bl w:val="nil"/>
            </w:tcBorders>
            <w:shd w:val="clear" w:color="auto" w:fill="auto"/>
            <w:vAlign w:val="center"/>
          </w:tcPr>
          <w:p>
            <w:pPr>
              <w:jc w:val="center"/>
              <w:rPr>
                <w:rFonts w:hint="default" w:ascii="仿宋_GB2312" w:hAnsi="仿宋_GB2312" w:eastAsia="仿宋_GB2312"/>
                <w:b w:val="0"/>
                <w:bCs w:val="0"/>
                <w:sz w:val="21"/>
                <w:szCs w:val="21"/>
                <w:lang w:val="en-US" w:eastAsia="zh-CN"/>
              </w:rPr>
            </w:pPr>
            <w:r>
              <w:rPr>
                <w:rFonts w:hint="default" w:ascii="仿宋_GB2312" w:hAnsi="仿宋_GB2312" w:eastAsia="仿宋_GB2312"/>
                <w:b w:val="0"/>
                <w:bCs w:val="0"/>
                <w:sz w:val="21"/>
                <w:szCs w:val="21"/>
                <w:lang w:val="en-US" w:eastAsia="zh-CN"/>
              </w:rPr>
              <w:t>/</w:t>
            </w:r>
          </w:p>
        </w:tc>
        <w:tc>
          <w:tcPr>
            <w:tcW w:w="4984" w:type="dxa"/>
            <w:tcBorders>
              <w:tl2br w:val="nil"/>
              <w:tr2bl w:val="nil"/>
            </w:tcBorders>
            <w:shd w:val="clear" w:color="auto" w:fill="auto"/>
            <w:vAlign w:val="center"/>
          </w:tcPr>
          <w:p>
            <w:pPr>
              <w:rPr>
                <w:rFonts w:hint="default" w:ascii="仿宋_GB2312" w:hAnsi="仿宋_GB2312" w:eastAsia="仿宋_GB2312"/>
                <w:sz w:val="21"/>
                <w:szCs w:val="21"/>
                <w:lang w:val="en-US" w:eastAsia="zh-CN"/>
              </w:rPr>
            </w:pPr>
            <w:r>
              <w:rPr>
                <w:rFonts w:hint="default" w:ascii="仿宋_GB2312" w:hAnsi="仿宋_GB2312" w:eastAsia="仿宋_GB2312"/>
                <w:sz w:val="21"/>
                <w:szCs w:val="21"/>
                <w:lang w:val="en-US" w:eastAsia="zh-CN"/>
              </w:rPr>
              <w:t>1.7-10月拟对保健食品化妆品生产经营企业进行安全生产检查和日常监管督查。 2. 8月份拟下发保健食品化妆品专项整治方案开展专项整治工作，全力保障金砖会议和19大顺利召开。3.下半年拟下发化妆品生产经营环节示范单位创建工作指导意见，在全省组织开展创建工作规范全省化妆品经营行为，方案已上局办公会议研究，待修改完善后下发。4.12月份完成6家保健食品生产企业为质量受权人示范企业创建验收工作。5、组织年终考评、总结。</w:t>
            </w:r>
          </w:p>
        </w:tc>
      </w:tr>
    </w:tbl>
    <w:p>
      <w:pPr>
        <w:jc w:val="left"/>
        <w:rPr>
          <w:sz w:val="21"/>
          <w:szCs w:val="21"/>
        </w:rPr>
      </w:pPr>
    </w:p>
    <w:sectPr>
      <w:pgSz w:w="16838" w:h="11906" w:orient="landscape"/>
      <w:pgMar w:top="1803" w:right="1327" w:bottom="1803" w:left="1327" w:header="851" w:footer="992" w:gutter="0"/>
      <w:pgBorders>
        <w:top w:val="none" w:color="auto" w:sz="0" w:space="0"/>
        <w:left w:val="none" w:color="auto" w:sz="0" w:space="0"/>
        <w:bottom w:val="none" w:color="auto" w:sz="0" w:space="0"/>
        <w:right w:val="none" w:color="auto"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w:panose1 w:val="020F0502020204030204"/>
    <w:charset w:val="81"/>
    <w:family w:val="auto"/>
    <w:pitch w:val="default"/>
    <w:sig w:usb0="E10002FF" w:usb1="4000ACFF" w:usb2="00000009" w:usb3="00000000" w:csb0="2000019F" w:csb1="00000000"/>
  </w:font>
  <w:font w:name="Tahoma">
    <w:panose1 w:val="020B0604030504040204"/>
    <w:charset w:val="81"/>
    <w:family w:val="swiss"/>
    <w:pitch w:val="default"/>
    <w:sig w:usb0="E1002EFF" w:usb1="C000605B" w:usb2="00000029" w:usb3="00000000" w:csb0="200101FF" w:csb1="20280000"/>
  </w:font>
  <w:font w:name="Calibri">
    <w:panose1 w:val="020F0502020204030204"/>
    <w:charset w:val="01"/>
    <w:family w:val="auto"/>
    <w:pitch w:val="default"/>
    <w:sig w:usb0="E10002FF" w:usb1="4000ACFF" w:usb2="00000009" w:usb3="00000000" w:csb0="2000019F" w:csb1="00000000"/>
  </w:font>
  <w:font w:name="方正小标宋_GBK">
    <w:altName w:val="宋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15FD5"/>
    <w:rsid w:val="006B5544"/>
    <w:rsid w:val="076A011E"/>
    <w:rsid w:val="0CF65F90"/>
    <w:rsid w:val="0FFB37A6"/>
    <w:rsid w:val="1AF04C60"/>
    <w:rsid w:val="202D67BF"/>
    <w:rsid w:val="21A42E57"/>
    <w:rsid w:val="2205289C"/>
    <w:rsid w:val="24696749"/>
    <w:rsid w:val="26546FE9"/>
    <w:rsid w:val="2A287E67"/>
    <w:rsid w:val="2D2B0CEC"/>
    <w:rsid w:val="38764604"/>
    <w:rsid w:val="392F63C7"/>
    <w:rsid w:val="39FD09F4"/>
    <w:rsid w:val="3F4E379F"/>
    <w:rsid w:val="473479A3"/>
    <w:rsid w:val="480F5064"/>
    <w:rsid w:val="483B30B5"/>
    <w:rsid w:val="4A203091"/>
    <w:rsid w:val="4CDB5770"/>
    <w:rsid w:val="527079C8"/>
    <w:rsid w:val="53FE3F56"/>
    <w:rsid w:val="559010FC"/>
    <w:rsid w:val="565445D0"/>
    <w:rsid w:val="58215FD5"/>
    <w:rsid w:val="5B433E90"/>
    <w:rsid w:val="5B7A28A7"/>
    <w:rsid w:val="5D430923"/>
    <w:rsid w:val="6BF025C5"/>
    <w:rsid w:val="743F156A"/>
    <w:rsid w:val="76D71A0E"/>
    <w:rsid w:val="77347A4A"/>
    <w:rsid w:val="77F00EAB"/>
    <w:rsid w:val="7B42396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2017-07-19T03:51:00Z</dcterms:created>
  <dc:creator>LSM</dc:creator>
  <cp:lastModifiedBy>Founder</cp:lastModifiedBy>
  <cp:lastPrinted>2017-07-24T10:16:06Z</cp:lastPrinted>
  <dcterms:modified xsi:type="dcterms:W3CDTF">2017-07-24T10:34:45Z</dcterms:modified>
  <dc:title>附件6                2017年上半年监管工作统计表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