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2" w:tblpY="2238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27"/>
        <w:gridCol w:w="4920"/>
        <w:gridCol w:w="1395"/>
        <w:gridCol w:w="100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63" w:type="dxa"/>
            <w:vAlign w:val="top"/>
          </w:tcPr>
          <w:p>
            <w:pPr>
              <w:jc w:val="left"/>
              <w:rPr>
                <w:rFonts w:hint="eastAsia" w:eastAsiaTheme="minor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1427" w:type="dxa"/>
            <w:vAlign w:val="top"/>
          </w:tcPr>
          <w:p>
            <w:pPr>
              <w:jc w:val="left"/>
              <w:rPr>
                <w:rFonts w:hint="eastAsia" w:eastAsiaTheme="minor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验收项目</w:t>
            </w:r>
          </w:p>
        </w:tc>
        <w:tc>
          <w:tcPr>
            <w:tcW w:w="4920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验收内容及程序</w:t>
            </w:r>
          </w:p>
        </w:tc>
        <w:tc>
          <w:tcPr>
            <w:tcW w:w="1395" w:type="dxa"/>
            <w:vAlign w:val="top"/>
          </w:tcPr>
          <w:p>
            <w:pPr>
              <w:jc w:val="left"/>
              <w:rPr>
                <w:rFonts w:hint="eastAsia" w:eastAsiaTheme="minor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验收结果</w:t>
            </w: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确认人</w:t>
            </w: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3" w:type="dxa"/>
            <w:vMerge w:val="restart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办公用品</w:t>
            </w:r>
          </w:p>
        </w:tc>
        <w:tc>
          <w:tcPr>
            <w:tcW w:w="1427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1 数量验收</w:t>
            </w:r>
          </w:p>
        </w:tc>
        <w:tc>
          <w:tcPr>
            <w:tcW w:w="4920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1.1 收到物资数量是否与合同要求数量相符。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□通过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□不通过</w:t>
            </w: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3" w:type="dxa"/>
            <w:vMerge w:val="continue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1427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 xml:space="preserve">2 标识 </w:t>
            </w:r>
          </w:p>
        </w:tc>
        <w:tc>
          <w:tcPr>
            <w:tcW w:w="492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办公用品应有明显标志。</w:t>
            </w: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2.1 制造厂名称或商标。是否与合同要求相符。</w:t>
            </w:r>
          </w:p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2.2.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产品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制造日期(年、月、日)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，特别商品除外。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□通过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□不通过</w:t>
            </w: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3" w:type="dxa"/>
            <w:vMerge w:val="continue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1427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3 合格证</w:t>
            </w:r>
          </w:p>
        </w:tc>
        <w:tc>
          <w:tcPr>
            <w:tcW w:w="4920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 xml:space="preserve">3.1 </w:t>
            </w:r>
            <w:bookmarkStart w:id="0" w:name="_GoBack"/>
            <w:bookmarkEnd w:id="0"/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配送产品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必须注明产品名称、规格型号、标准号码、出厂日期，并加盖检验章。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□通过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□不通过</w:t>
            </w: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3" w:type="dxa"/>
            <w:vMerge w:val="continue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1427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4 检验报告</w:t>
            </w:r>
          </w:p>
        </w:tc>
        <w:tc>
          <w:tcPr>
            <w:tcW w:w="492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4.1 提供“合格的”检验报告单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或出厂证明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。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  <w:lang w:eastAsia="zh-CN"/>
              </w:rPr>
              <w:t>符合</w:t>
            </w: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有关国标、行业标准等的有关理化指标技术要求参数。(复印件必须加盖单位公章红章有效)。</w:t>
            </w:r>
          </w:p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□通过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□不通过</w:t>
            </w: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763" w:type="dxa"/>
            <w:vMerge w:val="continue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1427" w:type="dxa"/>
            <w:vAlign w:val="top"/>
          </w:tcPr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 xml:space="preserve">5 外观验收 </w:t>
            </w:r>
          </w:p>
        </w:tc>
        <w:tc>
          <w:tcPr>
            <w:tcW w:w="492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5.1 实物是否与要求的品种、规格相符。</w:t>
            </w:r>
          </w:p>
          <w:p>
            <w:pPr>
              <w:jc w:val="left"/>
              <w:rPr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/>
                <w:position w:val="-25"/>
                <w:sz w:val="24"/>
                <w:szCs w:val="32"/>
                <w:vertAlign w:val="baseline"/>
              </w:rPr>
              <w:t>5.2 目测外观质量。(无受潮、无散包、无损坏)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□通过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□不通过</w:t>
            </w:r>
          </w:p>
        </w:tc>
        <w:tc>
          <w:tcPr>
            <w:tcW w:w="1005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/>
                <w:position w:val="-25"/>
                <w:sz w:val="24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position w:val="-25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  <w:lang w:eastAsia="zh-CN"/>
        </w:rPr>
        <w:t>产品验收要求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A6BBC"/>
    <w:rsid w:val="117F63C4"/>
    <w:rsid w:val="3C710A09"/>
    <w:rsid w:val="4E686A95"/>
    <w:rsid w:val="777F8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Founder</dc:creator>
  <cp:lastModifiedBy>陈婷</cp:lastModifiedBy>
  <cp:lastPrinted>2023-10-18T10:38:29Z</cp:lastPrinted>
  <dcterms:modified xsi:type="dcterms:W3CDTF">2023-10-19T09:43:47Z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