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福建省药品审核查验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中心2023年度财务收支情况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（含食堂、工会）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审计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项目报价单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20XX年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福建省药品审核查验中心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2023年度财务收支情况（含食堂、工会）审计项目</w:t>
            </w:r>
          </w:p>
        </w:tc>
        <w:tc>
          <w:tcPr>
            <w:tcW w:w="2841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" w:leftChars="76" w:firstLine="315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" w:leftChars="76" w:firstLine="315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总价应包含：上述货物以及相关税费等一切费用。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" w:leftChars="76" w:firstLine="315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5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>
      <w:pPr>
        <w:jc w:val="lef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850" w:h="16783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02B4"/>
    <w:rsid w:val="0C255FC5"/>
    <w:rsid w:val="1C8D0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2023-11-14T08:51:00Z</dcterms:created>
  <dc:creator>巫珊/fjfda</dc:creator>
  <cp:lastModifiedBy>朱丹</cp:lastModifiedBy>
  <dcterms:modified xsi:type="dcterms:W3CDTF">2024-08-26T03:39:28Z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