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32"/>
          <w:szCs w:val="32"/>
        </w:rPr>
      </w:pPr>
    </w:p>
    <w:p>
      <w:pPr>
        <w:ind w:firstLine="420"/>
        <w:jc w:val="center"/>
        <w:rPr>
          <w:rFonts w:cs="仿宋" w:asciiTheme="majorEastAsia" w:hAnsiTheme="majorEastAsia" w:eastAsiaTheme="majorEastAsia"/>
          <w:b/>
          <w:sz w:val="44"/>
          <w:szCs w:val="44"/>
        </w:rPr>
      </w:pPr>
      <w:r>
        <w:rPr>
          <w:rFonts w:hint="eastAsia" w:cs="仿宋" w:asciiTheme="majorEastAsia" w:hAnsiTheme="majorEastAsia" w:eastAsiaTheme="majorEastAsia"/>
          <w:b/>
          <w:sz w:val="44"/>
          <w:szCs w:val="44"/>
        </w:rPr>
        <w:t>清单管理专项资金绩效评价</w:t>
      </w:r>
    </w:p>
    <w:p>
      <w:pPr>
        <w:ind w:firstLine="420"/>
        <w:jc w:val="center"/>
        <w:rPr>
          <w:rFonts w:cs="仿宋" w:asciiTheme="majorEastAsia" w:hAnsiTheme="majorEastAsia" w:eastAsiaTheme="majorEastAsia"/>
          <w:b/>
          <w:sz w:val="44"/>
          <w:szCs w:val="44"/>
        </w:rPr>
      </w:pPr>
      <w:r>
        <w:rPr>
          <w:rFonts w:hint="eastAsia" w:cs="仿宋" w:asciiTheme="majorEastAsia" w:hAnsiTheme="majorEastAsia" w:eastAsiaTheme="majorEastAsia"/>
          <w:b/>
          <w:sz w:val="44"/>
          <w:szCs w:val="44"/>
        </w:rPr>
        <w:t>专项审计报告</w:t>
      </w:r>
    </w:p>
    <w:p>
      <w:pPr>
        <w:jc w:val="right"/>
        <w:rPr>
          <w:rFonts w:ascii="仿宋" w:hAnsi="仿宋" w:eastAsia="仿宋"/>
        </w:rPr>
      </w:pPr>
    </w:p>
    <w:p>
      <w:pPr>
        <w:pStyle w:val="11"/>
        <w:wordWrap w:val="0"/>
        <w:snapToGrid w:val="0"/>
        <w:spacing w:line="560" w:lineRule="atLeast"/>
        <w:ind w:left="1"/>
        <w:contextualSpacing/>
        <w:jc w:val="right"/>
        <w:rPr>
          <w:rFonts w:ascii="仿宋" w:hAnsi="仿宋" w:eastAsia="仿宋"/>
          <w:color w:val="auto"/>
        </w:rPr>
      </w:pPr>
      <w:r>
        <w:rPr>
          <w:rFonts w:hint="eastAsia" w:ascii="仿宋" w:hAnsi="仿宋" w:eastAsia="仿宋"/>
          <w:color w:val="auto"/>
        </w:rPr>
        <w:t>同人大有（2018）审字第0  号</w:t>
      </w:r>
    </w:p>
    <w:p>
      <w:pPr>
        <w:jc w:val="left"/>
        <w:rPr>
          <w:rFonts w:ascii="仿宋" w:hAnsi="仿宋" w:eastAsia="仿宋"/>
          <w:sz w:val="32"/>
          <w:szCs w:val="32"/>
        </w:rPr>
      </w:pPr>
      <w:r>
        <w:rPr>
          <w:rFonts w:hint="eastAsia" w:ascii="仿宋" w:hAnsi="仿宋" w:eastAsia="仿宋"/>
          <w:sz w:val="32"/>
          <w:szCs w:val="32"/>
        </w:rPr>
        <w:t>福建省食品药品监督管理局:</w:t>
      </w:r>
    </w:p>
    <w:p>
      <w:pPr>
        <w:ind w:firstLine="640" w:firstLineChars="200"/>
        <w:jc w:val="left"/>
        <w:rPr>
          <w:rFonts w:ascii="仿宋" w:hAnsi="仿宋" w:eastAsia="仿宋"/>
          <w:sz w:val="32"/>
          <w:szCs w:val="32"/>
        </w:rPr>
      </w:pPr>
      <w:r>
        <w:rPr>
          <w:rFonts w:hint="eastAsia" w:ascii="仿宋" w:hAnsi="仿宋" w:eastAsia="仿宋"/>
          <w:sz w:val="32"/>
          <w:szCs w:val="32"/>
        </w:rPr>
        <w:t>受贵局的委托，根据《福建省财政厅关于安排2017年中央财政公共卫生服务补助资金的通知》（闽财指</w:t>
      </w:r>
      <w:r>
        <w:rPr>
          <w:rFonts w:hint="eastAsia" w:ascii="仿宋" w:hAnsi="仿宋" w:eastAsia="仿宋" w:cs="仿宋"/>
          <w:sz w:val="32"/>
          <w:szCs w:val="32"/>
        </w:rPr>
        <w:t>〔</w:t>
      </w:r>
      <w:r>
        <w:rPr>
          <w:rFonts w:hint="eastAsia" w:ascii="仿宋" w:hAnsi="仿宋" w:eastAsia="仿宋"/>
          <w:sz w:val="32"/>
          <w:szCs w:val="32"/>
        </w:rPr>
        <w:t>2017</w:t>
      </w:r>
      <w:r>
        <w:rPr>
          <w:rFonts w:hint="eastAsia" w:ascii="仿宋" w:hAnsi="仿宋" w:eastAsia="仿宋" w:cs="仿宋"/>
          <w:sz w:val="32"/>
          <w:szCs w:val="32"/>
        </w:rPr>
        <w:t>〕</w:t>
      </w:r>
      <w:r>
        <w:rPr>
          <w:rFonts w:hint="eastAsia" w:ascii="仿宋" w:hAnsi="仿宋" w:eastAsia="仿宋"/>
          <w:sz w:val="32"/>
          <w:szCs w:val="32"/>
        </w:rPr>
        <w:t>第848号）等有关规定，本所对贵局本级、福建省食品药品质量检验研究院、福建省药品不良反应监测中心、福建省食品药品认证审评中心、福建省食品药品监管局信息中心、福建省医疗器械与药品包装材料检验所列入清单管理的2017年度</w:t>
      </w:r>
      <w:r>
        <w:rPr>
          <w:rFonts w:hint="eastAsia" w:ascii="仿宋" w:hAnsi="仿宋" w:eastAsia="仿宋" w:cs="仿宋"/>
          <w:sz w:val="32"/>
          <w:szCs w:val="32"/>
        </w:rPr>
        <w:t>中央财政公共卫生服务补助</w:t>
      </w:r>
      <w:r>
        <w:rPr>
          <w:rFonts w:hint="eastAsia" w:ascii="仿宋" w:hAnsi="仿宋" w:eastAsia="仿宋"/>
          <w:sz w:val="32"/>
          <w:szCs w:val="32"/>
        </w:rPr>
        <w:t>专项</w:t>
      </w:r>
      <w:r>
        <w:rPr>
          <w:rFonts w:hint="eastAsia" w:ascii="仿宋" w:hAnsi="仿宋" w:eastAsia="仿宋" w:cs="仿宋"/>
          <w:sz w:val="32"/>
          <w:szCs w:val="32"/>
        </w:rPr>
        <w:t>资金</w:t>
      </w:r>
      <w:r>
        <w:rPr>
          <w:rFonts w:hint="eastAsia" w:ascii="仿宋" w:hAnsi="仿宋" w:eastAsia="仿宋"/>
          <w:sz w:val="32"/>
          <w:szCs w:val="32"/>
        </w:rPr>
        <w:t xml:space="preserve">开展绩效评价。考评组采取查阅搜集资料、检查财务凭证及实地查询了解等具体考评方法，结合各部门单位的自评报告等相关资料，对专项资金投入、专项资金使用过程、专项资金产出与效益等三个方面按规定的标准进行考评。现将考评情况报告如下： </w:t>
      </w:r>
    </w:p>
    <w:p>
      <w:pPr>
        <w:ind w:firstLine="627" w:firstLineChars="196"/>
        <w:rPr>
          <w:rFonts w:ascii="黑体" w:hAnsi="黑体" w:eastAsia="黑体"/>
          <w:sz w:val="32"/>
          <w:szCs w:val="32"/>
        </w:rPr>
      </w:pPr>
      <w:r>
        <w:rPr>
          <w:rFonts w:hint="eastAsia" w:ascii="黑体" w:hAnsi="黑体" w:eastAsia="黑体" w:cs="仿宋"/>
          <w:kern w:val="0"/>
          <w:sz w:val="32"/>
          <w:szCs w:val="32"/>
        </w:rPr>
        <w:t>一、</w:t>
      </w:r>
      <w:r>
        <w:rPr>
          <w:rFonts w:hint="eastAsia" w:ascii="黑体" w:hAnsi="黑体" w:eastAsia="黑体"/>
          <w:sz w:val="32"/>
          <w:szCs w:val="32"/>
        </w:rPr>
        <w:t>工作情况及成效</w:t>
      </w:r>
    </w:p>
    <w:p>
      <w:pPr>
        <w:ind w:firstLine="643" w:firstLineChars="200"/>
        <w:rPr>
          <w:rFonts w:ascii="仿宋" w:hAnsi="仿宋" w:eastAsia="仿宋"/>
          <w:sz w:val="32"/>
          <w:szCs w:val="32"/>
        </w:rPr>
      </w:pPr>
      <w:r>
        <w:rPr>
          <w:rFonts w:hint="eastAsia" w:ascii="仿宋" w:hAnsi="仿宋" w:eastAsia="仿宋"/>
          <w:b/>
          <w:sz w:val="32"/>
          <w:szCs w:val="32"/>
        </w:rPr>
        <w:t>（一）专项基本情况。</w:t>
      </w:r>
    </w:p>
    <w:p>
      <w:pPr>
        <w:ind w:firstLine="640" w:firstLineChars="200"/>
        <w:rPr>
          <w:rFonts w:ascii="仿宋" w:hAnsi="仿宋" w:eastAsia="仿宋"/>
          <w:sz w:val="32"/>
          <w:szCs w:val="32"/>
        </w:rPr>
      </w:pPr>
      <w:r>
        <w:rPr>
          <w:rFonts w:hint="eastAsia" w:ascii="仿宋" w:hAnsi="仿宋" w:eastAsia="仿宋"/>
          <w:sz w:val="32"/>
          <w:szCs w:val="32"/>
        </w:rPr>
        <w:t>1.资金安排情况</w:t>
      </w:r>
    </w:p>
    <w:p>
      <w:pPr>
        <w:ind w:firstLine="640" w:firstLineChars="200"/>
        <w:rPr>
          <w:rFonts w:ascii="仿宋" w:hAnsi="仿宋" w:eastAsia="仿宋"/>
          <w:sz w:val="32"/>
          <w:szCs w:val="32"/>
        </w:rPr>
      </w:pPr>
      <w:r>
        <w:rPr>
          <w:rFonts w:hint="eastAsia" w:ascii="仿宋" w:hAnsi="仿宋" w:eastAsia="仿宋"/>
          <w:sz w:val="32"/>
          <w:szCs w:val="32"/>
        </w:rPr>
        <w:t>2016年10月财政部和国家食品药品监督管理总局提前下达我省2017年中央财政食品药品监管部门公共卫生服务补助资金预算指标6,188.00万元(财社</w:t>
      </w:r>
      <w:r>
        <w:rPr>
          <w:rFonts w:hint="eastAsia" w:ascii="仿宋" w:hAnsi="仿宋" w:eastAsia="仿宋" w:cs="仿宋"/>
          <w:sz w:val="32"/>
          <w:szCs w:val="32"/>
        </w:rPr>
        <w:t>〔</w:t>
      </w:r>
      <w:r>
        <w:rPr>
          <w:rFonts w:hint="eastAsia" w:ascii="仿宋" w:hAnsi="仿宋" w:eastAsia="仿宋"/>
          <w:sz w:val="32"/>
          <w:szCs w:val="32"/>
        </w:rPr>
        <w:t>2016</w:t>
      </w:r>
      <w:r>
        <w:rPr>
          <w:rFonts w:hint="eastAsia" w:ascii="仿宋" w:hAnsi="仿宋" w:eastAsia="仿宋" w:cs="仿宋"/>
          <w:sz w:val="32"/>
          <w:szCs w:val="32"/>
        </w:rPr>
        <w:t>〕</w:t>
      </w:r>
      <w:r>
        <w:rPr>
          <w:rFonts w:hint="eastAsia" w:ascii="仿宋" w:hAnsi="仿宋" w:eastAsia="仿宋"/>
          <w:sz w:val="32"/>
          <w:szCs w:val="32"/>
        </w:rPr>
        <w:t>154号)，主要用于食品药品安全监管和队伍能力建设，预算指标列2017年政府收支分类科目“210医疗卫生与计划生育支出”。</w:t>
      </w:r>
    </w:p>
    <w:p>
      <w:pPr>
        <w:ind w:firstLine="640" w:firstLineChars="200"/>
        <w:rPr>
          <w:rFonts w:ascii="仿宋" w:hAnsi="仿宋" w:eastAsia="仿宋"/>
          <w:sz w:val="32"/>
          <w:szCs w:val="32"/>
        </w:rPr>
      </w:pPr>
      <w:r>
        <w:rPr>
          <w:rFonts w:hint="eastAsia" w:ascii="仿宋" w:hAnsi="仿宋" w:eastAsia="仿宋"/>
          <w:sz w:val="32"/>
          <w:szCs w:val="32"/>
        </w:rPr>
        <w:t>2017年6月财政部和国家食品药品监督管理总局下达我省公共卫生服务补助资金预算指标7,828.00万，扣除财社</w:t>
      </w:r>
      <w:r>
        <w:rPr>
          <w:rFonts w:hint="eastAsia" w:ascii="仿宋" w:hAnsi="仿宋" w:eastAsia="仿宋" w:cs="仿宋"/>
          <w:sz w:val="32"/>
          <w:szCs w:val="32"/>
        </w:rPr>
        <w:t>〔</w:t>
      </w:r>
      <w:r>
        <w:rPr>
          <w:rFonts w:hint="eastAsia" w:ascii="仿宋" w:hAnsi="仿宋" w:eastAsia="仿宋"/>
          <w:sz w:val="32"/>
          <w:szCs w:val="32"/>
        </w:rPr>
        <w:t>2016</w:t>
      </w:r>
      <w:r>
        <w:rPr>
          <w:rFonts w:hint="eastAsia" w:ascii="仿宋" w:hAnsi="仿宋" w:eastAsia="仿宋" w:cs="仿宋"/>
          <w:sz w:val="32"/>
          <w:szCs w:val="32"/>
        </w:rPr>
        <w:t>〕</w:t>
      </w:r>
      <w:r>
        <w:rPr>
          <w:rFonts w:hint="eastAsia" w:ascii="仿宋" w:hAnsi="仿宋" w:eastAsia="仿宋"/>
          <w:sz w:val="32"/>
          <w:szCs w:val="32"/>
        </w:rPr>
        <w:t>154号文提前下达6,188.00万元后补下达预算指标1,640.00万元(财社</w:t>
      </w:r>
      <w:r>
        <w:rPr>
          <w:rFonts w:hint="eastAsia" w:ascii="仿宋" w:hAnsi="仿宋" w:eastAsia="仿宋" w:cs="仿宋"/>
          <w:sz w:val="32"/>
          <w:szCs w:val="32"/>
        </w:rPr>
        <w:t>〔</w:t>
      </w:r>
      <w:r>
        <w:rPr>
          <w:rFonts w:hint="eastAsia" w:ascii="仿宋" w:hAnsi="仿宋" w:eastAsia="仿宋"/>
          <w:sz w:val="32"/>
          <w:szCs w:val="32"/>
        </w:rPr>
        <w:t>2017</w:t>
      </w:r>
      <w:r>
        <w:rPr>
          <w:rFonts w:hint="eastAsia" w:ascii="仿宋" w:hAnsi="仿宋" w:eastAsia="仿宋" w:cs="仿宋"/>
          <w:sz w:val="32"/>
          <w:szCs w:val="32"/>
        </w:rPr>
        <w:t>〕</w:t>
      </w:r>
      <w:r>
        <w:rPr>
          <w:rFonts w:hint="eastAsia" w:ascii="仿宋" w:hAnsi="仿宋" w:eastAsia="仿宋"/>
          <w:sz w:val="32"/>
          <w:szCs w:val="32"/>
        </w:rPr>
        <w:t>65号)。</w:t>
      </w:r>
    </w:p>
    <w:p>
      <w:pPr>
        <w:ind w:firstLine="640" w:firstLineChars="200"/>
        <w:rPr>
          <w:rFonts w:ascii="仿宋" w:hAnsi="仿宋" w:eastAsia="仿宋"/>
          <w:sz w:val="32"/>
          <w:szCs w:val="32"/>
        </w:rPr>
      </w:pPr>
      <w:r>
        <w:rPr>
          <w:rFonts w:hint="eastAsia" w:ascii="仿宋" w:hAnsi="仿宋" w:eastAsia="仿宋"/>
          <w:sz w:val="32"/>
          <w:szCs w:val="32"/>
        </w:rPr>
        <w:t>根据财社</w:t>
      </w:r>
      <w:r>
        <w:rPr>
          <w:rFonts w:hint="eastAsia" w:ascii="仿宋" w:hAnsi="仿宋" w:eastAsia="仿宋" w:cs="仿宋"/>
          <w:sz w:val="32"/>
          <w:szCs w:val="32"/>
        </w:rPr>
        <w:t>〔</w:t>
      </w:r>
      <w:r>
        <w:rPr>
          <w:rFonts w:hint="eastAsia" w:ascii="仿宋" w:hAnsi="仿宋" w:eastAsia="仿宋"/>
          <w:sz w:val="32"/>
          <w:szCs w:val="32"/>
        </w:rPr>
        <w:t>2016</w:t>
      </w:r>
      <w:r>
        <w:rPr>
          <w:rFonts w:hint="eastAsia" w:ascii="仿宋" w:hAnsi="仿宋" w:eastAsia="仿宋" w:cs="仿宋"/>
          <w:sz w:val="32"/>
          <w:szCs w:val="32"/>
        </w:rPr>
        <w:t>〕</w:t>
      </w:r>
      <w:r>
        <w:rPr>
          <w:rFonts w:hint="eastAsia" w:ascii="仿宋" w:hAnsi="仿宋" w:eastAsia="仿宋"/>
          <w:sz w:val="32"/>
          <w:szCs w:val="32"/>
        </w:rPr>
        <w:t>154号文，结合2016年经费拨付情况，贵局于2016年11月向福建省财政厅报送专项资金分配方案。福建省财政厅于2016年12月提前下拨资金2,221.00万元至各设区市局，剩余预算指标3,967.00万元省级预留列入2018年部门预算待分配，作为清单管理专项资金。</w:t>
      </w:r>
    </w:p>
    <w:p>
      <w:pPr>
        <w:ind w:firstLine="640" w:firstLineChars="200"/>
        <w:rPr>
          <w:rFonts w:ascii="仿宋" w:hAnsi="仿宋" w:eastAsia="仿宋"/>
          <w:sz w:val="32"/>
          <w:szCs w:val="32"/>
        </w:rPr>
      </w:pPr>
      <w:r>
        <w:rPr>
          <w:rFonts w:hint="eastAsia" w:ascii="仿宋" w:hAnsi="仿宋" w:eastAsia="仿宋"/>
          <w:sz w:val="32"/>
          <w:szCs w:val="32"/>
        </w:rPr>
        <w:t>2017年6月，根据我省食品检验检测工作开展情况，贵局向福建省财政厅申请下达食品检验检测项目经费，从省级预留的3,967.00万元预算指标中安排2,500.00万元拨款，其中：省局本级2,050.00万元，福建省食品药品质量检验研究院450万元。（详见闽财指</w:t>
      </w:r>
      <w:r>
        <w:rPr>
          <w:rFonts w:hint="eastAsia" w:ascii="仿宋" w:hAnsi="仿宋" w:eastAsia="仿宋" w:cs="仿宋"/>
          <w:sz w:val="32"/>
          <w:szCs w:val="32"/>
        </w:rPr>
        <w:t>〔2017〕539号</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根据2017年国家食品药品监督管理总局任务安排和我省工作计划，贵局制定了2017年公共卫生服务补助</w:t>
      </w:r>
      <w:r>
        <w:rPr>
          <w:rFonts w:hint="eastAsia" w:ascii="仿宋_GB2312" w:hAnsi="宋体" w:eastAsia="仿宋_GB2312"/>
          <w:sz w:val="32"/>
        </w:rPr>
        <w:t>专项资金项目细化方案，</w:t>
      </w:r>
      <w:r>
        <w:rPr>
          <w:rFonts w:hint="eastAsia" w:ascii="仿宋" w:hAnsi="仿宋" w:eastAsia="仿宋"/>
          <w:sz w:val="32"/>
          <w:szCs w:val="32"/>
        </w:rPr>
        <w:t>于2017年8月向福建省财政厅申请下达</w:t>
      </w:r>
      <w:r>
        <w:rPr>
          <w:rFonts w:hint="eastAsia" w:ascii="仿宋_GB2312" w:hAnsi="宋体" w:eastAsia="仿宋_GB2312"/>
          <w:sz w:val="32"/>
        </w:rPr>
        <w:t>专项资金</w:t>
      </w:r>
      <w:r>
        <w:rPr>
          <w:rFonts w:hint="eastAsia" w:ascii="仿宋" w:hAnsi="仿宋" w:eastAsia="仿宋"/>
          <w:sz w:val="32"/>
          <w:szCs w:val="32"/>
        </w:rPr>
        <w:t>，安排省级4,677.00万元(扣除上次拨款后本次下拨2,177.00万元)，其中：省局本级2,479.00万元(扣除上次拨款后本次下拨429.00万元)，福建省食品药品质量检验研究院1,634.00万元(扣除上次拨款后本次下拨1,184.00万元)，福建省药品不良反应监测中心20.00万元，福建省食品药品认证审评中心23.00万元，福建省食品药品监管局信息中心11.00万元，福建省医疗器械与药品包装材料检验所510.00万元。（详见闽财指</w:t>
      </w:r>
      <w:r>
        <w:rPr>
          <w:rFonts w:hint="eastAsia" w:ascii="仿宋" w:hAnsi="仿宋" w:eastAsia="仿宋" w:cs="仿宋"/>
          <w:sz w:val="32"/>
          <w:szCs w:val="32"/>
        </w:rPr>
        <w:t>〔2017〕848号</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2.贵局工作部署情况</w:t>
      </w:r>
    </w:p>
    <w:p>
      <w:pPr>
        <w:ind w:firstLine="640" w:firstLineChars="200"/>
        <w:rPr>
          <w:rFonts w:ascii="仿宋" w:hAnsi="仿宋" w:eastAsia="仿宋"/>
          <w:sz w:val="32"/>
          <w:szCs w:val="32"/>
        </w:rPr>
      </w:pPr>
      <w:r>
        <w:rPr>
          <w:rFonts w:hint="eastAsia" w:ascii="仿宋" w:hAnsi="仿宋" w:eastAsia="仿宋"/>
          <w:sz w:val="32"/>
          <w:szCs w:val="32"/>
        </w:rPr>
        <w:t>资金下达后，贵局于</w:t>
      </w:r>
      <w:r>
        <w:rPr>
          <w:rFonts w:hint="eastAsia" w:ascii="仿宋_GB2312" w:eastAsia="仿宋_GB2312"/>
          <w:sz w:val="32"/>
        </w:rPr>
        <w:t>2017年9月印发《福建省食品药品监督管理局关于下达2017年中央补助地方公共卫生专项工作任务的通知》（闽食药监财函〔2017〕534号）部署开展了相关工作。</w:t>
      </w:r>
    </w:p>
    <w:p>
      <w:pPr>
        <w:ind w:firstLine="643" w:firstLineChars="200"/>
        <w:rPr>
          <w:rFonts w:ascii="仿宋" w:hAnsi="仿宋" w:eastAsia="仿宋"/>
          <w:sz w:val="32"/>
          <w:szCs w:val="32"/>
        </w:rPr>
      </w:pPr>
      <w:r>
        <w:rPr>
          <w:rFonts w:hint="eastAsia" w:ascii="仿宋" w:hAnsi="仿宋" w:eastAsia="仿宋"/>
          <w:b/>
          <w:sz w:val="32"/>
          <w:szCs w:val="32"/>
        </w:rPr>
        <w:t>（二）主要成效。</w:t>
      </w:r>
    </w:p>
    <w:p>
      <w:pPr>
        <w:ind w:firstLine="640" w:firstLineChars="200"/>
        <w:rPr>
          <w:rFonts w:ascii="仿宋" w:hAnsi="仿宋" w:eastAsia="仿宋"/>
          <w:sz w:val="32"/>
          <w:szCs w:val="32"/>
        </w:rPr>
      </w:pPr>
      <w:r>
        <w:rPr>
          <w:rFonts w:hint="eastAsia" w:ascii="仿宋" w:hAnsi="仿宋" w:eastAsia="仿宋"/>
          <w:sz w:val="32"/>
          <w:szCs w:val="32"/>
        </w:rPr>
        <w:t>1.资金使用情况</w:t>
      </w:r>
    </w:p>
    <w:p>
      <w:pPr>
        <w:ind w:firstLine="640" w:firstLineChars="200"/>
        <w:rPr>
          <w:rFonts w:ascii="仿宋" w:hAnsi="仿宋" w:eastAsia="仿宋"/>
          <w:sz w:val="32"/>
          <w:szCs w:val="32"/>
        </w:rPr>
      </w:pPr>
      <w:r>
        <w:rPr>
          <w:rFonts w:hint="eastAsia" w:ascii="仿宋" w:hAnsi="仿宋" w:eastAsia="仿宋"/>
          <w:sz w:val="32"/>
          <w:szCs w:val="32"/>
        </w:rPr>
        <w:t>2017年度实际安排</w:t>
      </w:r>
      <w:r>
        <w:rPr>
          <w:rFonts w:hint="eastAsia" w:ascii="仿宋" w:hAnsi="仿宋" w:eastAsia="仿宋" w:cs="仿宋"/>
          <w:sz w:val="32"/>
          <w:szCs w:val="32"/>
        </w:rPr>
        <w:t>中央财政公共卫生服务补助</w:t>
      </w:r>
      <w:r>
        <w:rPr>
          <w:rFonts w:hint="eastAsia" w:ascii="仿宋" w:hAnsi="仿宋" w:eastAsia="仿宋"/>
          <w:sz w:val="32"/>
          <w:szCs w:val="32"/>
        </w:rPr>
        <w:t>专项</w:t>
      </w:r>
      <w:r>
        <w:rPr>
          <w:rFonts w:hint="eastAsia" w:ascii="仿宋" w:hAnsi="仿宋" w:eastAsia="仿宋" w:cs="仿宋"/>
          <w:sz w:val="32"/>
          <w:szCs w:val="32"/>
        </w:rPr>
        <w:t>资金</w:t>
      </w:r>
      <w:r>
        <w:rPr>
          <w:rFonts w:hint="eastAsia" w:ascii="仿宋" w:hAnsi="仿宋" w:eastAsia="仿宋"/>
          <w:sz w:val="32"/>
          <w:szCs w:val="32"/>
        </w:rPr>
        <w:t>4,677.00万元，截止2017年底，共计支出2,043.47万元，结余资金2,633.53万元，支出实现率43.69%。</w:t>
      </w:r>
    </w:p>
    <w:p>
      <w:pPr>
        <w:ind w:firstLine="640" w:firstLineChars="200"/>
        <w:rPr>
          <w:rFonts w:ascii="仿宋" w:hAnsi="仿宋" w:eastAsia="仿宋"/>
          <w:sz w:val="32"/>
          <w:szCs w:val="32"/>
        </w:rPr>
      </w:pPr>
      <w:r>
        <w:rPr>
          <w:rFonts w:hint="eastAsia" w:ascii="仿宋" w:hAnsi="仿宋" w:eastAsia="仿宋"/>
          <w:sz w:val="32"/>
          <w:szCs w:val="32"/>
        </w:rPr>
        <w:t>2.目标完成情况</w:t>
      </w:r>
    </w:p>
    <w:p>
      <w:pPr>
        <w:ind w:firstLine="640" w:firstLineChars="200"/>
        <w:rPr>
          <w:rFonts w:ascii="仿宋" w:hAnsi="仿宋" w:eastAsia="仿宋"/>
          <w:sz w:val="32"/>
          <w:szCs w:val="32"/>
        </w:rPr>
      </w:pPr>
      <w:r>
        <w:rPr>
          <w:rFonts w:hint="eastAsia" w:ascii="仿宋" w:hAnsi="仿宋" w:eastAsia="仿宋"/>
          <w:sz w:val="32"/>
          <w:szCs w:val="32"/>
        </w:rPr>
        <w:t>（1）投入目标</w:t>
      </w:r>
    </w:p>
    <w:p>
      <w:pPr>
        <w:ind w:firstLine="640" w:firstLineChars="200"/>
        <w:rPr>
          <w:rFonts w:ascii="仿宋" w:hAnsi="仿宋" w:eastAsia="仿宋" w:cs="仿宋"/>
          <w:sz w:val="32"/>
          <w:szCs w:val="32"/>
        </w:rPr>
      </w:pPr>
      <w:r>
        <w:rPr>
          <w:rFonts w:hint="eastAsia" w:ascii="仿宋" w:hAnsi="仿宋" w:eastAsia="仿宋"/>
          <w:sz w:val="32"/>
          <w:szCs w:val="32"/>
        </w:rPr>
        <w:t>时效目标：2017年底中央转移支付任务基本完成，但其中以下任务未完成:</w:t>
      </w:r>
      <w:r>
        <w:rPr>
          <w:rFonts w:ascii="仿宋" w:hAnsi="仿宋" w:eastAsia="仿宋"/>
          <w:sz w:val="32"/>
          <w:szCs w:val="32"/>
        </w:rPr>
        <w:fldChar w:fldCharType="begin"/>
      </w:r>
      <w:r>
        <w:rPr>
          <w:rFonts w:ascii="仿宋" w:hAnsi="仿宋" w:eastAsia="仿宋"/>
          <w:sz w:val="32"/>
          <w:szCs w:val="32"/>
        </w:rPr>
        <w:instrText xml:space="preserve"> </w:instrText>
      </w:r>
      <w:r>
        <w:rPr>
          <w:rFonts w:hint="eastAsia" w:ascii="仿宋" w:hAnsi="仿宋" w:eastAsia="仿宋"/>
          <w:sz w:val="32"/>
          <w:szCs w:val="32"/>
        </w:rPr>
        <w:instrText xml:space="preserve">= 1 \* GB3</w:instrText>
      </w:r>
      <w:r>
        <w:rPr>
          <w:rFonts w:ascii="仿宋" w:hAnsi="仿宋" w:eastAsia="仿宋"/>
          <w:sz w:val="32"/>
          <w:szCs w:val="32"/>
        </w:rPr>
        <w:instrText xml:space="preserve"> </w:instrText>
      </w:r>
      <w:r>
        <w:rPr>
          <w:rFonts w:ascii="仿宋" w:hAnsi="仿宋" w:eastAsia="仿宋"/>
          <w:sz w:val="32"/>
          <w:szCs w:val="32"/>
        </w:rPr>
        <w:fldChar w:fldCharType="separate"/>
      </w:r>
      <w:r>
        <w:rPr>
          <w:rFonts w:hint="eastAsia" w:ascii="仿宋" w:hAnsi="仿宋" w:eastAsia="仿宋"/>
          <w:sz w:val="32"/>
          <w:szCs w:val="32"/>
        </w:rPr>
        <w:t>①</w:t>
      </w:r>
      <w:r>
        <w:rPr>
          <w:rFonts w:ascii="仿宋" w:hAnsi="仿宋" w:eastAsia="仿宋"/>
          <w:sz w:val="32"/>
          <w:szCs w:val="32"/>
        </w:rPr>
        <w:fldChar w:fldCharType="end"/>
      </w:r>
      <w:r>
        <w:rPr>
          <w:rFonts w:hint="eastAsia" w:ascii="仿宋" w:hAnsi="仿宋" w:eastAsia="仿宋"/>
          <w:sz w:val="32"/>
          <w:szCs w:val="32"/>
        </w:rPr>
        <w:t>福建省食品药品质量检验研究院“药品标准制修订”项目因起草单位未送达相关资料及样品，造成任务未完成;</w:t>
      </w:r>
      <w:r>
        <w:rPr>
          <w:rFonts w:ascii="仿宋" w:hAnsi="仿宋" w:eastAsia="仿宋"/>
          <w:sz w:val="32"/>
          <w:szCs w:val="32"/>
        </w:rPr>
        <w:fldChar w:fldCharType="begin"/>
      </w:r>
      <w:r>
        <w:rPr>
          <w:rFonts w:ascii="仿宋" w:hAnsi="仿宋" w:eastAsia="仿宋"/>
          <w:sz w:val="32"/>
          <w:szCs w:val="32"/>
        </w:rPr>
        <w:instrText xml:space="preserve"> </w:instrText>
      </w:r>
      <w:r>
        <w:rPr>
          <w:rFonts w:hint="eastAsia" w:ascii="仿宋" w:hAnsi="仿宋" w:eastAsia="仿宋"/>
          <w:sz w:val="32"/>
          <w:szCs w:val="32"/>
        </w:rPr>
        <w:instrText xml:space="preserve">= 2 \* GB3</w:instrText>
      </w:r>
      <w:r>
        <w:rPr>
          <w:rFonts w:ascii="仿宋" w:hAnsi="仿宋" w:eastAsia="仿宋"/>
          <w:sz w:val="32"/>
          <w:szCs w:val="32"/>
        </w:rPr>
        <w:instrText xml:space="preserve"> </w:instrText>
      </w:r>
      <w:r>
        <w:rPr>
          <w:rFonts w:ascii="仿宋" w:hAnsi="仿宋" w:eastAsia="仿宋"/>
          <w:sz w:val="32"/>
          <w:szCs w:val="32"/>
        </w:rPr>
        <w:fldChar w:fldCharType="separate"/>
      </w:r>
      <w:r>
        <w:rPr>
          <w:rFonts w:hint="eastAsia" w:ascii="仿宋" w:hAnsi="仿宋" w:eastAsia="仿宋"/>
          <w:sz w:val="32"/>
          <w:szCs w:val="32"/>
        </w:rPr>
        <w:t>②</w:t>
      </w:r>
      <w:r>
        <w:rPr>
          <w:rFonts w:ascii="仿宋" w:hAnsi="仿宋" w:eastAsia="仿宋"/>
          <w:sz w:val="32"/>
          <w:szCs w:val="32"/>
        </w:rPr>
        <w:fldChar w:fldCharType="end"/>
      </w:r>
      <w:r>
        <w:rPr>
          <w:rFonts w:hint="eastAsia" w:ascii="仿宋" w:hAnsi="仿宋" w:eastAsia="仿宋"/>
          <w:sz w:val="32"/>
          <w:szCs w:val="32"/>
        </w:rPr>
        <w:t>福建省食品药品质量检验研究院“一致性评价”项目因未收到部分品种复核资料及样品，造成任务未完成;</w:t>
      </w:r>
      <w:r>
        <w:rPr>
          <w:rFonts w:ascii="仿宋" w:hAnsi="仿宋" w:eastAsia="仿宋"/>
          <w:sz w:val="32"/>
          <w:szCs w:val="32"/>
        </w:rPr>
        <w:fldChar w:fldCharType="begin"/>
      </w:r>
      <w:r>
        <w:rPr>
          <w:rFonts w:ascii="仿宋" w:hAnsi="仿宋" w:eastAsia="仿宋"/>
          <w:sz w:val="32"/>
          <w:szCs w:val="32"/>
        </w:rPr>
        <w:instrText xml:space="preserve"> </w:instrText>
      </w:r>
      <w:r>
        <w:rPr>
          <w:rFonts w:hint="eastAsia" w:ascii="仿宋" w:hAnsi="仿宋" w:eastAsia="仿宋"/>
          <w:sz w:val="32"/>
          <w:szCs w:val="32"/>
        </w:rPr>
        <w:instrText xml:space="preserve">= 3 \* GB3</w:instrText>
      </w:r>
      <w:r>
        <w:rPr>
          <w:rFonts w:ascii="仿宋" w:hAnsi="仿宋" w:eastAsia="仿宋"/>
          <w:sz w:val="32"/>
          <w:szCs w:val="32"/>
        </w:rPr>
        <w:instrText xml:space="preserve"> </w:instrText>
      </w:r>
      <w:r>
        <w:rPr>
          <w:rFonts w:ascii="仿宋" w:hAnsi="仿宋" w:eastAsia="仿宋"/>
          <w:sz w:val="32"/>
          <w:szCs w:val="32"/>
        </w:rPr>
        <w:fldChar w:fldCharType="separate"/>
      </w:r>
      <w:r>
        <w:rPr>
          <w:rFonts w:hint="eastAsia" w:ascii="仿宋" w:hAnsi="仿宋" w:eastAsia="仿宋"/>
          <w:sz w:val="32"/>
          <w:szCs w:val="32"/>
        </w:rPr>
        <w:t>③</w:t>
      </w:r>
      <w:r>
        <w:rPr>
          <w:rFonts w:ascii="仿宋" w:hAnsi="仿宋" w:eastAsia="仿宋"/>
          <w:sz w:val="32"/>
          <w:szCs w:val="32"/>
        </w:rPr>
        <w:fldChar w:fldCharType="end"/>
      </w:r>
      <w:r>
        <w:rPr>
          <w:rFonts w:hint="eastAsia" w:ascii="仿宋" w:hAnsi="仿宋" w:eastAsia="仿宋"/>
          <w:sz w:val="32"/>
          <w:szCs w:val="32"/>
        </w:rPr>
        <w:t>福建省食品药品质量检验研究院、福建省医疗器械与药品包装材料检验所“食品药品检验机构能力建设”项目因招标流程未走完，造成设备购置任务未完成;</w:t>
      </w:r>
      <w:r>
        <w:rPr>
          <w:rFonts w:ascii="仿宋" w:hAnsi="仿宋" w:eastAsia="仿宋"/>
          <w:sz w:val="32"/>
          <w:szCs w:val="32"/>
        </w:rPr>
        <w:fldChar w:fldCharType="begin"/>
      </w:r>
      <w:r>
        <w:rPr>
          <w:rFonts w:ascii="仿宋" w:hAnsi="仿宋" w:eastAsia="仿宋"/>
          <w:sz w:val="32"/>
          <w:szCs w:val="32"/>
        </w:rPr>
        <w:instrText xml:space="preserve"> </w:instrText>
      </w:r>
      <w:r>
        <w:rPr>
          <w:rFonts w:hint="eastAsia" w:ascii="仿宋" w:hAnsi="仿宋" w:eastAsia="仿宋"/>
          <w:sz w:val="32"/>
          <w:szCs w:val="32"/>
        </w:rPr>
        <w:instrText xml:space="preserve">= 4 \* GB3</w:instrText>
      </w:r>
      <w:r>
        <w:rPr>
          <w:rFonts w:ascii="仿宋" w:hAnsi="仿宋" w:eastAsia="仿宋"/>
          <w:sz w:val="32"/>
          <w:szCs w:val="32"/>
        </w:rPr>
        <w:instrText xml:space="preserve"> </w:instrText>
      </w:r>
      <w:r>
        <w:rPr>
          <w:rFonts w:ascii="仿宋" w:hAnsi="仿宋" w:eastAsia="仿宋"/>
          <w:sz w:val="32"/>
          <w:szCs w:val="32"/>
        </w:rPr>
        <w:fldChar w:fldCharType="separate"/>
      </w:r>
      <w:r>
        <w:rPr>
          <w:rFonts w:hint="eastAsia" w:ascii="仿宋" w:hAnsi="仿宋" w:eastAsia="仿宋"/>
          <w:sz w:val="32"/>
          <w:szCs w:val="32"/>
        </w:rPr>
        <w:t>④</w:t>
      </w:r>
      <w:r>
        <w:rPr>
          <w:rFonts w:ascii="仿宋" w:hAnsi="仿宋" w:eastAsia="仿宋"/>
          <w:sz w:val="32"/>
          <w:szCs w:val="32"/>
        </w:rPr>
        <w:fldChar w:fldCharType="end"/>
      </w:r>
      <w:r>
        <w:rPr>
          <w:rFonts w:hint="eastAsia" w:ascii="仿宋" w:hAnsi="仿宋" w:eastAsia="仿宋"/>
          <w:sz w:val="32"/>
          <w:szCs w:val="32"/>
        </w:rPr>
        <w:t>福建省药品不良反应</w:t>
      </w:r>
      <w:r>
        <w:rPr>
          <w:rFonts w:hint="eastAsia" w:ascii="仿宋" w:hAnsi="仿宋" w:eastAsia="仿宋"/>
          <w:sz w:val="32"/>
          <w:szCs w:val="32"/>
          <w:lang w:eastAsia="zh-CN"/>
        </w:rPr>
        <w:t>监测</w:t>
      </w:r>
      <w:r>
        <w:rPr>
          <w:rFonts w:hint="eastAsia" w:ascii="仿宋" w:hAnsi="仿宋" w:eastAsia="仿宋"/>
          <w:sz w:val="32"/>
          <w:szCs w:val="32"/>
        </w:rPr>
        <w:t>中心、福建省食品药品监管局信息中心、福建省医疗器械与药品包装材料检验所“食品药品监管队伍能力建设”项目因相关培训工作尚未开展，造成任务未完成</w:t>
      </w:r>
      <w:r>
        <w:rPr>
          <w:rFonts w:hint="eastAsia" w:ascii="仿宋" w:hAnsi="仿宋" w:eastAsia="仿宋" w:cs="仿宋"/>
          <w:sz w:val="32"/>
          <w:szCs w:val="32"/>
        </w:rPr>
        <w:t>。</w:t>
      </w:r>
    </w:p>
    <w:p>
      <w:pPr>
        <w:ind w:firstLine="640" w:firstLineChars="200"/>
        <w:rPr>
          <w:rFonts w:ascii="仿宋" w:hAnsi="仿宋" w:eastAsia="仿宋" w:cs="仿宋"/>
          <w:sz w:val="32"/>
          <w:szCs w:val="32"/>
        </w:rPr>
      </w:pPr>
      <w:r>
        <w:rPr>
          <w:rFonts w:hint="eastAsia" w:ascii="仿宋" w:hAnsi="仿宋" w:eastAsia="仿宋" w:cs="仿宋"/>
          <w:sz w:val="32"/>
          <w:szCs w:val="32"/>
        </w:rPr>
        <w:t>成本目标：贵局组织全省系统37名领导和骨干赴港学习培训食品监管；采取举办全省各类监管业务视频培训、现场培训等方式，对一线监管执法人员开展全覆盖培训，培训成本控制在400元/人·天以内。</w:t>
      </w:r>
      <w:bookmarkStart w:id="1" w:name="_GoBack"/>
      <w:bookmarkEnd w:id="1"/>
    </w:p>
    <w:p>
      <w:pPr>
        <w:ind w:firstLine="640" w:firstLineChars="200"/>
        <w:rPr>
          <w:rFonts w:ascii="仿宋" w:hAnsi="仿宋" w:eastAsia="仿宋" w:cs="仿宋"/>
          <w:sz w:val="32"/>
          <w:szCs w:val="32"/>
        </w:rPr>
      </w:pPr>
      <w:r>
        <w:rPr>
          <w:rFonts w:hint="eastAsia" w:ascii="仿宋" w:hAnsi="仿宋" w:eastAsia="仿宋" w:cs="仿宋"/>
          <w:sz w:val="32"/>
          <w:szCs w:val="32"/>
        </w:rPr>
        <w:t>（2）产出目标</w:t>
      </w:r>
    </w:p>
    <w:p>
      <w:pPr>
        <w:ind w:firstLine="640" w:firstLineChars="200"/>
        <w:rPr>
          <w:rFonts w:ascii="仿宋" w:hAnsi="仿宋" w:eastAsia="仿宋" w:cs="仿宋"/>
          <w:sz w:val="32"/>
          <w:szCs w:val="32"/>
        </w:rPr>
      </w:pPr>
      <w:r>
        <w:rPr>
          <w:rFonts w:hint="eastAsia" w:ascii="仿宋" w:hAnsi="仿宋" w:eastAsia="仿宋" w:cs="仿宋"/>
          <w:sz w:val="32"/>
          <w:szCs w:val="32"/>
        </w:rPr>
        <w:t>数量目标：根据贵局提供数据，2017年完成食品（含保健食品）抽样42,618批次（含省抽），完成化妆品抽验400批次，医疗器械抽验96批次，开展1个品种的医疗器械不良反应事件重点监测，省食品药品质量检验研究院普通食品检测能力新增资质155项，覆盖2017年国家食品安全监督抽检实施细则中33大类食品所有项目的70%。</w:t>
      </w:r>
    </w:p>
    <w:p>
      <w:pPr>
        <w:ind w:firstLine="640" w:firstLineChars="200"/>
        <w:rPr>
          <w:rFonts w:ascii="仿宋" w:hAnsi="仿宋" w:eastAsia="仿宋" w:cs="仿宋"/>
          <w:sz w:val="32"/>
          <w:szCs w:val="32"/>
        </w:rPr>
      </w:pPr>
      <w:r>
        <w:rPr>
          <w:rFonts w:hint="eastAsia" w:ascii="仿宋" w:hAnsi="仿宋" w:eastAsia="仿宋" w:cs="仿宋"/>
          <w:sz w:val="32"/>
          <w:szCs w:val="32"/>
        </w:rPr>
        <w:t>质量目标：根据贵局提供数据，对不合格食品、药品核查处置率达到100%，开展“两微”平台宣传，新媒体宣传平台开通率达到50%。</w:t>
      </w:r>
    </w:p>
    <w:p>
      <w:pPr>
        <w:ind w:firstLine="640" w:firstLineChars="200"/>
        <w:rPr>
          <w:rFonts w:ascii="仿宋" w:hAnsi="仿宋" w:eastAsia="仿宋" w:cs="仿宋"/>
          <w:sz w:val="32"/>
          <w:szCs w:val="32"/>
        </w:rPr>
      </w:pPr>
      <w:r>
        <w:rPr>
          <w:rFonts w:hint="eastAsia" w:ascii="仿宋" w:hAnsi="仿宋" w:eastAsia="仿宋" w:cs="仿宋"/>
          <w:sz w:val="32"/>
          <w:szCs w:val="32"/>
        </w:rPr>
        <w:t>（3）效益目标</w:t>
      </w:r>
    </w:p>
    <w:p>
      <w:pPr>
        <w:ind w:firstLine="640" w:firstLineChars="200"/>
        <w:rPr>
          <w:rFonts w:ascii="仿宋" w:hAnsi="仿宋" w:eastAsia="仿宋" w:cs="仿宋"/>
          <w:sz w:val="32"/>
          <w:szCs w:val="32"/>
        </w:rPr>
      </w:pPr>
      <w:bookmarkStart w:id="0" w:name="OLE_LINK1"/>
      <w:r>
        <w:rPr>
          <w:rFonts w:hint="eastAsia" w:ascii="仿宋" w:hAnsi="仿宋" w:eastAsia="仿宋" w:cs="仿宋"/>
          <w:sz w:val="32"/>
          <w:szCs w:val="32"/>
        </w:rPr>
        <w:t>根据福建省食安办和贵局2017年组织的食品、药品监管满意度调查，我省食品安全群众满意度和药品安全分别为73.02%和81.6</w:t>
      </w:r>
      <w:bookmarkEnd w:id="0"/>
      <w:r>
        <w:rPr>
          <w:rFonts w:hint="eastAsia" w:ascii="仿宋" w:hAnsi="仿宋" w:eastAsia="仿宋" w:cs="仿宋"/>
          <w:sz w:val="32"/>
          <w:szCs w:val="32"/>
        </w:rPr>
        <w:t>0%。</w:t>
      </w:r>
    </w:p>
    <w:p>
      <w:pPr>
        <w:ind w:firstLine="627" w:firstLineChars="196"/>
        <w:rPr>
          <w:rFonts w:ascii="黑体" w:hAnsi="黑体" w:eastAsia="黑体" w:cs="仿宋"/>
          <w:kern w:val="0"/>
          <w:sz w:val="32"/>
          <w:szCs w:val="32"/>
        </w:rPr>
      </w:pPr>
      <w:r>
        <w:rPr>
          <w:rFonts w:hint="eastAsia" w:ascii="黑体" w:hAnsi="黑体" w:eastAsia="黑体" w:cs="仿宋"/>
          <w:kern w:val="0"/>
          <w:sz w:val="32"/>
          <w:szCs w:val="32"/>
        </w:rPr>
        <w:t>二、存在的主要问题</w:t>
      </w:r>
    </w:p>
    <w:p>
      <w:pPr>
        <w:ind w:firstLine="643"/>
        <w:rPr>
          <w:rFonts w:hint="eastAsia" w:ascii="仿宋" w:hAnsi="仿宋" w:eastAsia="仿宋"/>
          <w:b/>
          <w:sz w:val="32"/>
          <w:szCs w:val="32"/>
        </w:rPr>
      </w:pPr>
      <w:r>
        <w:rPr>
          <w:rFonts w:hint="eastAsia" w:ascii="仿宋" w:hAnsi="仿宋" w:eastAsia="仿宋"/>
          <w:b/>
          <w:sz w:val="32"/>
          <w:szCs w:val="32"/>
        </w:rPr>
        <w:t>（一）专项资金申报方面</w:t>
      </w:r>
    </w:p>
    <w:p>
      <w:pPr>
        <w:ind w:firstLine="643"/>
        <w:rPr>
          <w:rFonts w:hint="eastAsia" w:ascii="仿宋" w:hAnsi="仿宋" w:eastAsia="仿宋" w:cs="仿宋"/>
          <w:sz w:val="32"/>
          <w:szCs w:val="32"/>
        </w:rPr>
      </w:pPr>
      <w:r>
        <w:rPr>
          <w:rFonts w:hint="eastAsia" w:ascii="仿宋" w:hAnsi="仿宋" w:eastAsia="仿宋" w:cs="仿宋"/>
          <w:sz w:val="32"/>
          <w:szCs w:val="32"/>
        </w:rPr>
        <w:t>对设备资金需求，未提前做好工作安排及专项资金申请。</w:t>
      </w:r>
    </w:p>
    <w:p>
      <w:pPr>
        <w:ind w:firstLine="643"/>
        <w:rPr>
          <w:rFonts w:ascii="仿宋" w:hAnsi="仿宋" w:eastAsia="仿宋"/>
          <w:b/>
          <w:sz w:val="32"/>
          <w:szCs w:val="32"/>
        </w:rPr>
      </w:pPr>
      <w:r>
        <w:rPr>
          <w:rFonts w:hint="eastAsia" w:ascii="仿宋" w:hAnsi="仿宋" w:eastAsia="仿宋"/>
          <w:b/>
          <w:sz w:val="32"/>
          <w:szCs w:val="32"/>
        </w:rPr>
        <w:t>（二）目标任务完成方面</w:t>
      </w:r>
    </w:p>
    <w:p>
      <w:pPr>
        <w:ind w:firstLine="643"/>
        <w:rPr>
          <w:rFonts w:ascii="仿宋" w:hAnsi="仿宋" w:eastAsia="仿宋"/>
          <w:b/>
          <w:sz w:val="32"/>
          <w:szCs w:val="32"/>
        </w:rPr>
      </w:pPr>
      <w:r>
        <w:rPr>
          <w:rFonts w:hint="eastAsia" w:ascii="仿宋" w:hAnsi="仿宋" w:eastAsia="仿宋" w:cs="仿宋"/>
          <w:sz w:val="32"/>
          <w:szCs w:val="32"/>
        </w:rPr>
        <w:t>由于客观原因，三家单位共计7个项目未完成目标任务。[详见（二）、</w:t>
      </w:r>
      <w:r>
        <w:rPr>
          <w:rFonts w:hint="eastAsia" w:ascii="仿宋" w:hAnsi="仿宋" w:eastAsia="仿宋"/>
          <w:sz w:val="32"/>
          <w:szCs w:val="32"/>
        </w:rPr>
        <w:t>2. （1）</w:t>
      </w:r>
      <w:r>
        <w:rPr>
          <w:rFonts w:hint="eastAsia" w:ascii="仿宋" w:hAnsi="仿宋" w:eastAsia="仿宋" w:cs="仿宋"/>
          <w:sz w:val="32"/>
          <w:szCs w:val="32"/>
        </w:rPr>
        <w:t>]</w:t>
      </w:r>
    </w:p>
    <w:p>
      <w:pPr>
        <w:ind w:firstLine="643" w:firstLineChars="200"/>
        <w:rPr>
          <w:rFonts w:ascii="仿宋" w:hAnsi="仿宋" w:eastAsia="仿宋"/>
          <w:b/>
          <w:sz w:val="32"/>
          <w:szCs w:val="32"/>
        </w:rPr>
      </w:pPr>
      <w:r>
        <w:rPr>
          <w:rFonts w:hint="eastAsia" w:ascii="仿宋" w:hAnsi="仿宋" w:eastAsia="仿宋"/>
          <w:b/>
          <w:sz w:val="32"/>
          <w:szCs w:val="32"/>
        </w:rPr>
        <w:t>（三）资金使用率方面</w:t>
      </w:r>
    </w:p>
    <w:p>
      <w:pPr>
        <w:ind w:firstLine="643"/>
        <w:rPr>
          <w:rFonts w:ascii="仿宋" w:hAnsi="仿宋" w:eastAsia="仿宋" w:cs="仿宋"/>
          <w:sz w:val="32"/>
          <w:szCs w:val="32"/>
        </w:rPr>
      </w:pPr>
      <w:r>
        <w:rPr>
          <w:rFonts w:hint="eastAsia" w:ascii="仿宋" w:hAnsi="仿宋" w:eastAsia="仿宋" w:cs="仿宋"/>
          <w:sz w:val="32"/>
          <w:szCs w:val="32"/>
        </w:rPr>
        <w:t>资金使用率较低,仅为43.69%，19个项目中有12个项目资金未使用完成，3个项目资金尚未开始投入使用。</w:t>
      </w:r>
    </w:p>
    <w:p>
      <w:pPr>
        <w:ind w:firstLine="643" w:firstLineChars="200"/>
        <w:rPr>
          <w:rFonts w:ascii="仿宋" w:hAnsi="仿宋" w:eastAsia="仿宋" w:cs="仿宋"/>
          <w:kern w:val="0"/>
          <w:sz w:val="32"/>
          <w:szCs w:val="32"/>
        </w:rPr>
      </w:pPr>
      <w:r>
        <w:rPr>
          <w:rFonts w:hint="eastAsia" w:ascii="仿宋" w:hAnsi="仿宋" w:eastAsia="仿宋"/>
          <w:b/>
          <w:sz w:val="32"/>
          <w:szCs w:val="32"/>
        </w:rPr>
        <w:t>（四）财务核算方面</w:t>
      </w:r>
    </w:p>
    <w:p>
      <w:pPr>
        <w:ind w:firstLine="640" w:firstLineChars="200"/>
        <w:rPr>
          <w:rFonts w:ascii="仿宋" w:hAnsi="仿宋" w:eastAsia="仿宋" w:cs="仿宋"/>
          <w:kern w:val="0"/>
          <w:sz w:val="32"/>
          <w:szCs w:val="32"/>
        </w:rPr>
      </w:pPr>
      <w:r>
        <w:rPr>
          <w:rFonts w:hint="eastAsia" w:ascii="仿宋" w:hAnsi="仿宋" w:eastAsia="仿宋" w:cs="仿宋"/>
          <w:kern w:val="0"/>
          <w:sz w:val="32"/>
          <w:szCs w:val="32"/>
        </w:rPr>
        <w:t>福建省食品药品质量检验研究院“食品安全抽检及风险监测”项目拨款收入465.00万元，支出187.78万元。专项与日常的共同耗材、人工费及其他费用开支未能提供分配标准、方法及计算过程，难以对列入专项的支出与本项目的相关性作出判断。</w:t>
      </w:r>
    </w:p>
    <w:p>
      <w:pPr>
        <w:ind w:firstLine="643" w:firstLineChars="200"/>
        <w:rPr>
          <w:rFonts w:ascii="仿宋" w:hAnsi="仿宋" w:eastAsia="仿宋"/>
          <w:b/>
          <w:sz w:val="32"/>
          <w:szCs w:val="32"/>
        </w:rPr>
      </w:pPr>
      <w:r>
        <w:rPr>
          <w:rFonts w:hint="eastAsia" w:ascii="仿宋" w:hAnsi="仿宋" w:eastAsia="仿宋"/>
          <w:b/>
          <w:sz w:val="32"/>
          <w:szCs w:val="32"/>
        </w:rPr>
        <w:t>（五）检验数量记录方面</w:t>
      </w:r>
    </w:p>
    <w:p>
      <w:pPr>
        <w:ind w:firstLine="627" w:firstLineChars="196"/>
        <w:rPr>
          <w:rFonts w:ascii="仿宋" w:hAnsi="仿宋" w:eastAsia="仿宋" w:cs="仿宋"/>
          <w:kern w:val="0"/>
          <w:sz w:val="32"/>
          <w:szCs w:val="32"/>
        </w:rPr>
      </w:pPr>
      <w:r>
        <w:rPr>
          <w:rFonts w:hint="eastAsia" w:ascii="仿宋" w:hAnsi="仿宋" w:eastAsia="仿宋" w:cs="仿宋"/>
          <w:kern w:val="0"/>
          <w:sz w:val="32"/>
          <w:szCs w:val="32"/>
        </w:rPr>
        <w:t>检验单位未能提供抽检工作基础记录资料，自报的抽检数量难以进行准确核实。</w:t>
      </w:r>
    </w:p>
    <w:p>
      <w:pPr>
        <w:ind w:firstLine="627" w:firstLineChars="196"/>
        <w:rPr>
          <w:rFonts w:ascii="黑体" w:hAnsi="黑体" w:eastAsia="黑体" w:cs="仿宋"/>
          <w:kern w:val="0"/>
          <w:sz w:val="32"/>
          <w:szCs w:val="32"/>
        </w:rPr>
      </w:pPr>
      <w:r>
        <w:rPr>
          <w:rFonts w:hint="eastAsia" w:ascii="黑体" w:hAnsi="黑体" w:eastAsia="黑体" w:cs="仿宋"/>
          <w:kern w:val="0"/>
          <w:sz w:val="32"/>
          <w:szCs w:val="32"/>
        </w:rPr>
        <w:t>三、相关意见建议</w:t>
      </w:r>
    </w:p>
    <w:p>
      <w:pPr>
        <w:ind w:firstLine="640" w:firstLineChars="200"/>
        <w:rPr>
          <w:rFonts w:ascii="仿宋" w:hAnsi="仿宋" w:eastAsia="仿宋"/>
          <w:sz w:val="32"/>
          <w:szCs w:val="32"/>
        </w:rPr>
      </w:pPr>
      <w:r>
        <w:rPr>
          <w:rFonts w:hint="eastAsia" w:ascii="仿宋" w:hAnsi="仿宋" w:eastAsia="仿宋"/>
          <w:sz w:val="32"/>
          <w:szCs w:val="32"/>
        </w:rPr>
        <w:t>针对上述存在的问题或疑虑，我们提出如下建议：</w:t>
      </w:r>
    </w:p>
    <w:p>
      <w:pPr>
        <w:ind w:firstLine="640" w:firstLineChars="200"/>
        <w:rPr>
          <w:rFonts w:ascii="仿宋" w:hAnsi="仿宋" w:eastAsia="仿宋" w:cs="仿宋"/>
          <w:sz w:val="32"/>
          <w:szCs w:val="32"/>
        </w:rPr>
      </w:pPr>
      <w:r>
        <w:rPr>
          <w:rFonts w:hint="eastAsia" w:ascii="仿宋" w:hAnsi="仿宋" w:eastAsia="仿宋"/>
          <w:sz w:val="32"/>
          <w:szCs w:val="32"/>
        </w:rPr>
        <w:t>（一）由于</w:t>
      </w:r>
      <w:r>
        <w:rPr>
          <w:rFonts w:hint="eastAsia" w:ascii="仿宋" w:hAnsi="仿宋" w:eastAsia="仿宋" w:cs="仿宋"/>
          <w:sz w:val="32"/>
          <w:szCs w:val="32"/>
        </w:rPr>
        <w:t>设备资金使用须办理审批、招标等手续，流程较耗时,故应提前做好工作计划，提前进行专项资金申请。</w:t>
      </w:r>
    </w:p>
    <w:p>
      <w:pPr>
        <w:ind w:firstLine="640" w:firstLineChars="200"/>
        <w:rPr>
          <w:rFonts w:ascii="仿宋" w:hAnsi="仿宋" w:eastAsia="仿宋"/>
          <w:sz w:val="32"/>
          <w:szCs w:val="32"/>
        </w:rPr>
      </w:pPr>
      <w:r>
        <w:rPr>
          <w:rFonts w:hint="eastAsia" w:ascii="仿宋" w:hAnsi="仿宋" w:eastAsia="仿宋"/>
          <w:sz w:val="32"/>
          <w:szCs w:val="32"/>
        </w:rPr>
        <w:t>（二）目标责任要落实到人，规划的相关培训工作要及时开展，项目实施过程中遇到的问题要及时解决，日常要加强指导监督工作，以保证</w:t>
      </w:r>
      <w:r>
        <w:rPr>
          <w:rFonts w:hint="eastAsia" w:ascii="仿宋" w:hAnsi="仿宋" w:eastAsia="仿宋" w:cs="仿宋"/>
          <w:sz w:val="32"/>
          <w:szCs w:val="32"/>
        </w:rPr>
        <w:t>目标任务的完成。</w:t>
      </w:r>
    </w:p>
    <w:p>
      <w:pPr>
        <w:ind w:firstLine="640" w:firstLineChars="200"/>
        <w:rPr>
          <w:rFonts w:ascii="仿宋" w:hAnsi="仿宋" w:eastAsia="仿宋"/>
          <w:sz w:val="32"/>
          <w:szCs w:val="32"/>
        </w:rPr>
      </w:pPr>
      <w:r>
        <w:rPr>
          <w:rFonts w:hint="eastAsia" w:ascii="仿宋" w:hAnsi="仿宋" w:eastAsia="仿宋"/>
          <w:sz w:val="32"/>
          <w:szCs w:val="32"/>
        </w:rPr>
        <w:t>（三）要根据实际情况和需求进行</w:t>
      </w:r>
      <w:r>
        <w:rPr>
          <w:rFonts w:hint="eastAsia" w:ascii="仿宋_GB2312" w:eastAsia="仿宋_GB2312"/>
          <w:sz w:val="32"/>
        </w:rPr>
        <w:t>专项任务的</w:t>
      </w:r>
      <w:r>
        <w:rPr>
          <w:rFonts w:hint="eastAsia" w:ascii="仿宋" w:hAnsi="仿宋" w:eastAsia="仿宋"/>
          <w:sz w:val="32"/>
          <w:szCs w:val="32"/>
        </w:rPr>
        <w:t>部署和资金分配实施方案的制定，要加强预算计划的执行力度，省局要配备专人负责日常督促工作，保证专项资金的有效使用。</w:t>
      </w:r>
    </w:p>
    <w:p>
      <w:pPr>
        <w:ind w:firstLine="640" w:firstLineChars="200"/>
        <w:rPr>
          <w:rFonts w:ascii="仿宋" w:hAnsi="仿宋" w:eastAsia="仿宋"/>
          <w:sz w:val="32"/>
          <w:szCs w:val="32"/>
        </w:rPr>
      </w:pPr>
      <w:r>
        <w:rPr>
          <w:rFonts w:hint="eastAsia" w:ascii="仿宋" w:hAnsi="仿宋" w:eastAsia="仿宋"/>
          <w:sz w:val="32"/>
          <w:szCs w:val="32"/>
        </w:rPr>
        <w:t>（四）财务核算要有依据，</w:t>
      </w:r>
      <w:r>
        <w:rPr>
          <w:rFonts w:hint="eastAsia" w:ascii="仿宋" w:hAnsi="仿宋" w:eastAsia="仿宋" w:cs="仿宋"/>
          <w:kern w:val="0"/>
          <w:sz w:val="32"/>
          <w:szCs w:val="32"/>
        </w:rPr>
        <w:t>专项与日常共同成本费用要有合理的分配标准、方法以及计算过程，使分配到各项目的成本费用具有相关性和可核查性。</w:t>
      </w:r>
    </w:p>
    <w:p>
      <w:pPr>
        <w:ind w:firstLine="640" w:firstLineChars="200"/>
        <w:rPr>
          <w:rFonts w:ascii="仿宋" w:hAnsi="仿宋" w:eastAsia="仿宋" w:cs="仿宋"/>
          <w:kern w:val="0"/>
          <w:sz w:val="32"/>
          <w:szCs w:val="32"/>
        </w:rPr>
      </w:pPr>
      <w:r>
        <w:rPr>
          <w:rFonts w:hint="eastAsia" w:ascii="仿宋" w:hAnsi="仿宋" w:eastAsia="仿宋"/>
          <w:sz w:val="32"/>
          <w:szCs w:val="32"/>
        </w:rPr>
        <w:t>（五）要建立健全</w:t>
      </w:r>
      <w:r>
        <w:rPr>
          <w:rFonts w:hint="eastAsia" w:ascii="仿宋" w:hAnsi="仿宋" w:eastAsia="仿宋" w:cs="仿宋"/>
          <w:kern w:val="0"/>
          <w:sz w:val="32"/>
          <w:szCs w:val="32"/>
        </w:rPr>
        <w:t>检验工作登记制度，各项目抽检及日常抽检数量要分开记录。</w:t>
      </w:r>
    </w:p>
    <w:p>
      <w:pPr>
        <w:ind w:firstLine="627" w:firstLineChars="196"/>
        <w:rPr>
          <w:rFonts w:ascii="黑体" w:hAnsi="黑体" w:eastAsia="黑体" w:cs="仿宋"/>
          <w:kern w:val="0"/>
          <w:sz w:val="32"/>
          <w:szCs w:val="32"/>
        </w:rPr>
      </w:pPr>
      <w:r>
        <w:rPr>
          <w:rFonts w:hint="eastAsia" w:ascii="黑体" w:hAnsi="黑体" w:eastAsia="黑体" w:cs="仿宋"/>
          <w:kern w:val="0"/>
          <w:sz w:val="32"/>
          <w:szCs w:val="32"/>
        </w:rPr>
        <w:t>四、其他事项说明</w:t>
      </w:r>
    </w:p>
    <w:p>
      <w:pPr>
        <w:autoSpaceDE w:val="0"/>
        <w:autoSpaceDN w:val="0"/>
        <w:adjustRightInd w:val="0"/>
        <w:spacing w:line="560" w:lineRule="exact"/>
        <w:ind w:firstLine="640" w:firstLineChars="200"/>
        <w:rPr>
          <w:rFonts w:ascii="仿宋" w:hAnsi="仿宋" w:eastAsia="仿宋" w:cs="仿宋"/>
          <w:kern w:val="0"/>
          <w:sz w:val="32"/>
          <w:szCs w:val="32"/>
        </w:rPr>
      </w:pPr>
      <w:r>
        <w:rPr>
          <w:rFonts w:hint="eastAsia" w:ascii="仿宋" w:hAnsi="仿宋" w:eastAsia="仿宋"/>
          <w:sz w:val="32"/>
          <w:szCs w:val="32"/>
        </w:rPr>
        <w:t>（一）</w:t>
      </w:r>
      <w:r>
        <w:rPr>
          <w:rFonts w:hint="eastAsia" w:ascii="仿宋" w:hAnsi="仿宋" w:eastAsia="仿宋" w:cs="仿宋"/>
          <w:kern w:val="0"/>
          <w:sz w:val="32"/>
          <w:szCs w:val="32"/>
        </w:rPr>
        <w:t>本次绩效评价专项审计依赖各被评价单位提供审计所必需的相关资料和信息，各被评价单位应保证其所提供的相关资料和信息是准确的，这些资料和信息的真实性与完整性由各被评价单位负责。</w:t>
      </w:r>
    </w:p>
    <w:p>
      <w:pPr>
        <w:autoSpaceDE w:val="0"/>
        <w:autoSpaceDN w:val="0"/>
        <w:adjustRightInd w:val="0"/>
        <w:spacing w:line="560" w:lineRule="exact"/>
        <w:ind w:firstLine="640" w:firstLineChars="200"/>
        <w:rPr>
          <w:rFonts w:ascii="仿宋" w:hAnsi="仿宋" w:eastAsia="仿宋" w:cs="仿宋"/>
          <w:kern w:val="0"/>
          <w:sz w:val="32"/>
          <w:szCs w:val="32"/>
        </w:rPr>
      </w:pPr>
      <w:r>
        <w:rPr>
          <w:rFonts w:hint="eastAsia" w:ascii="仿宋" w:hAnsi="仿宋" w:eastAsia="仿宋"/>
          <w:sz w:val="32"/>
          <w:szCs w:val="32"/>
        </w:rPr>
        <w:t>（二）</w:t>
      </w:r>
      <w:r>
        <w:rPr>
          <w:rFonts w:hint="eastAsia" w:ascii="仿宋" w:hAnsi="仿宋" w:eastAsia="仿宋" w:cs="仿宋"/>
          <w:kern w:val="0"/>
          <w:sz w:val="32"/>
          <w:szCs w:val="32"/>
        </w:rPr>
        <w:t xml:space="preserve">我们在本报告中所提及的相关问题只是我们在现场工作中发现的，并不一定全面涵盖了各被评价单位存在的所有问题和缺陷；我们提供的改进建议也不可能尽述所有方案。 </w:t>
      </w:r>
    </w:p>
    <w:p>
      <w:pPr>
        <w:ind w:firstLine="640" w:firstLineChars="200"/>
        <w:rPr>
          <w:rFonts w:ascii="仿宋" w:hAnsi="仿宋" w:eastAsia="仿宋" w:cs="仿宋"/>
          <w:kern w:val="0"/>
          <w:sz w:val="32"/>
          <w:szCs w:val="32"/>
        </w:rPr>
      </w:pPr>
      <w:r>
        <w:rPr>
          <w:rFonts w:hint="eastAsia" w:ascii="仿宋" w:hAnsi="仿宋" w:eastAsia="仿宋"/>
          <w:sz w:val="32"/>
          <w:szCs w:val="32"/>
        </w:rPr>
        <w:t>（三）</w:t>
      </w:r>
      <w:r>
        <w:rPr>
          <w:rFonts w:hint="eastAsia" w:ascii="仿宋" w:hAnsi="仿宋" w:eastAsia="仿宋" w:cs="仿宋"/>
          <w:kern w:val="0"/>
          <w:sz w:val="32"/>
          <w:szCs w:val="32"/>
        </w:rPr>
        <w:t>本专项审计报告仅供贵局本年度清单管理专项资金绩效评价参考使用，因使用不当造成的损失与本所及注册会计师无关。</w:t>
      </w:r>
    </w:p>
    <w:p>
      <w:pPr>
        <w:ind w:firstLine="640" w:firstLineChars="200"/>
        <w:rPr>
          <w:rFonts w:ascii="仿宋" w:hAnsi="仿宋" w:eastAsia="仿宋" w:cs="仿宋"/>
          <w:kern w:val="0"/>
          <w:sz w:val="32"/>
          <w:szCs w:val="32"/>
        </w:rPr>
      </w:pPr>
    </w:p>
    <w:p>
      <w:pPr>
        <w:ind w:firstLine="640" w:firstLineChars="200"/>
        <w:rPr>
          <w:rFonts w:ascii="仿宋" w:hAnsi="仿宋" w:eastAsia="仿宋" w:cs="仿宋"/>
          <w:kern w:val="0"/>
          <w:sz w:val="32"/>
          <w:szCs w:val="32"/>
        </w:rPr>
      </w:pPr>
    </w:p>
    <w:tbl>
      <w:tblPr>
        <w:tblStyle w:val="6"/>
        <w:tblW w:w="9408" w:type="dxa"/>
        <w:tblInd w:w="0" w:type="dxa"/>
        <w:tblLayout w:type="fixed"/>
        <w:tblCellMar>
          <w:top w:w="0" w:type="dxa"/>
          <w:left w:w="108" w:type="dxa"/>
          <w:bottom w:w="0" w:type="dxa"/>
          <w:right w:w="108" w:type="dxa"/>
        </w:tblCellMar>
      </w:tblPr>
      <w:tblGrid>
        <w:gridCol w:w="3652"/>
        <w:gridCol w:w="1417"/>
        <w:gridCol w:w="4339"/>
      </w:tblGrid>
      <w:tr>
        <w:tblPrEx>
          <w:tblLayout w:type="fixed"/>
          <w:tblCellMar>
            <w:top w:w="0" w:type="dxa"/>
            <w:left w:w="108" w:type="dxa"/>
            <w:bottom w:w="0" w:type="dxa"/>
            <w:right w:w="108" w:type="dxa"/>
          </w:tblCellMar>
        </w:tblPrEx>
        <w:trPr>
          <w:trHeight w:val="780" w:hRule="atLeast"/>
        </w:trPr>
        <w:tc>
          <w:tcPr>
            <w:tcW w:w="3652" w:type="dxa"/>
          </w:tcPr>
          <w:p>
            <w:pPr>
              <w:snapToGrid w:val="0"/>
              <w:contextualSpacing/>
              <w:jc w:val="center"/>
              <w:rPr>
                <w:rFonts w:ascii="仿宋" w:hAnsi="仿宋" w:eastAsia="仿宋"/>
                <w:b/>
                <w:bCs/>
                <w:snapToGrid w:val="0"/>
                <w:kern w:val="28"/>
                <w:sz w:val="28"/>
                <w:szCs w:val="28"/>
              </w:rPr>
            </w:pPr>
          </w:p>
          <w:p>
            <w:pPr>
              <w:snapToGrid w:val="0"/>
              <w:contextualSpacing/>
              <w:jc w:val="center"/>
              <w:rPr>
                <w:rFonts w:ascii="仿宋" w:hAnsi="仿宋" w:eastAsia="仿宋"/>
                <w:b/>
                <w:bCs/>
                <w:snapToGrid w:val="0"/>
                <w:kern w:val="28"/>
                <w:sz w:val="28"/>
                <w:szCs w:val="28"/>
              </w:rPr>
            </w:pPr>
            <w:r>
              <w:rPr>
                <w:rFonts w:hint="eastAsia" w:ascii="仿宋" w:hAnsi="仿宋" w:eastAsia="仿宋"/>
                <w:b/>
                <w:bCs/>
                <w:snapToGrid w:val="0"/>
                <w:kern w:val="28"/>
                <w:sz w:val="28"/>
                <w:szCs w:val="28"/>
              </w:rPr>
              <w:t>福建同人大有会计师事务所</w:t>
            </w:r>
          </w:p>
          <w:p>
            <w:pPr>
              <w:snapToGrid w:val="0"/>
              <w:contextualSpacing/>
              <w:jc w:val="center"/>
              <w:rPr>
                <w:rFonts w:ascii="仿宋" w:hAnsi="仿宋" w:eastAsia="仿宋"/>
                <w:b/>
                <w:bCs/>
                <w:snapToGrid w:val="0"/>
                <w:kern w:val="28"/>
                <w:sz w:val="28"/>
                <w:szCs w:val="28"/>
              </w:rPr>
            </w:pPr>
          </w:p>
          <w:p>
            <w:pPr>
              <w:snapToGrid w:val="0"/>
              <w:contextualSpacing/>
              <w:jc w:val="center"/>
              <w:rPr>
                <w:rFonts w:ascii="仿宋" w:hAnsi="仿宋" w:eastAsia="仿宋"/>
                <w:snapToGrid w:val="0"/>
                <w:kern w:val="28"/>
                <w:sz w:val="28"/>
                <w:szCs w:val="28"/>
              </w:rPr>
            </w:pPr>
            <w:r>
              <w:rPr>
                <w:rFonts w:hint="eastAsia" w:ascii="仿宋" w:hAnsi="仿宋" w:eastAsia="仿宋"/>
                <w:b/>
                <w:bCs/>
                <w:snapToGrid w:val="0"/>
                <w:kern w:val="28"/>
                <w:sz w:val="28"/>
                <w:szCs w:val="28"/>
              </w:rPr>
              <w:t>有限公司</w:t>
            </w:r>
          </w:p>
        </w:tc>
        <w:tc>
          <w:tcPr>
            <w:tcW w:w="1417" w:type="dxa"/>
          </w:tcPr>
          <w:p>
            <w:pPr>
              <w:snapToGrid w:val="0"/>
              <w:contextualSpacing/>
              <w:jc w:val="center"/>
              <w:rPr>
                <w:rFonts w:ascii="仿宋" w:hAnsi="仿宋" w:eastAsia="仿宋"/>
                <w:snapToGrid w:val="0"/>
                <w:kern w:val="28"/>
                <w:sz w:val="28"/>
                <w:szCs w:val="28"/>
              </w:rPr>
            </w:pPr>
          </w:p>
          <w:p>
            <w:pPr>
              <w:snapToGrid w:val="0"/>
              <w:contextualSpacing/>
              <w:jc w:val="center"/>
              <w:rPr>
                <w:rFonts w:ascii="仿宋" w:hAnsi="仿宋" w:eastAsia="仿宋"/>
                <w:snapToGrid w:val="0"/>
                <w:kern w:val="28"/>
                <w:sz w:val="28"/>
                <w:szCs w:val="28"/>
              </w:rPr>
            </w:pPr>
          </w:p>
        </w:tc>
        <w:tc>
          <w:tcPr>
            <w:tcW w:w="4339" w:type="dxa"/>
          </w:tcPr>
          <w:p>
            <w:pPr>
              <w:snapToGrid w:val="0"/>
              <w:contextualSpacing/>
              <w:rPr>
                <w:rFonts w:ascii="仿宋" w:hAnsi="仿宋" w:eastAsia="仿宋"/>
                <w:b/>
                <w:bCs/>
                <w:snapToGrid w:val="0"/>
                <w:kern w:val="28"/>
                <w:sz w:val="28"/>
                <w:szCs w:val="28"/>
              </w:rPr>
            </w:pPr>
          </w:p>
          <w:p>
            <w:pPr>
              <w:snapToGrid w:val="0"/>
              <w:contextualSpacing/>
              <w:rPr>
                <w:rFonts w:ascii="仿宋" w:hAnsi="仿宋" w:eastAsia="仿宋"/>
                <w:b/>
                <w:bCs/>
                <w:snapToGrid w:val="0"/>
                <w:kern w:val="28"/>
                <w:sz w:val="28"/>
                <w:szCs w:val="28"/>
              </w:rPr>
            </w:pPr>
            <w:r>
              <w:rPr>
                <w:rFonts w:hint="eastAsia" w:ascii="仿宋" w:hAnsi="仿宋" w:eastAsia="仿宋"/>
                <w:b/>
                <w:bCs/>
                <w:snapToGrid w:val="0"/>
                <w:kern w:val="28"/>
                <w:sz w:val="28"/>
                <w:szCs w:val="28"/>
              </w:rPr>
              <w:t>中国注册会计师：</w:t>
            </w:r>
          </w:p>
        </w:tc>
      </w:tr>
      <w:tr>
        <w:tblPrEx>
          <w:tblLayout w:type="fixed"/>
          <w:tblCellMar>
            <w:top w:w="0" w:type="dxa"/>
            <w:left w:w="108" w:type="dxa"/>
            <w:bottom w:w="0" w:type="dxa"/>
            <w:right w:w="108" w:type="dxa"/>
          </w:tblCellMar>
        </w:tblPrEx>
        <w:trPr>
          <w:cantSplit/>
          <w:trHeight w:val="662" w:hRule="atLeast"/>
        </w:trPr>
        <w:tc>
          <w:tcPr>
            <w:tcW w:w="3652" w:type="dxa"/>
            <w:vAlign w:val="center"/>
          </w:tcPr>
          <w:p>
            <w:pPr>
              <w:snapToGrid w:val="0"/>
              <w:ind w:left="-126" w:leftChars="-60"/>
              <w:contextualSpacing/>
              <w:jc w:val="center"/>
              <w:rPr>
                <w:rFonts w:ascii="仿宋" w:hAnsi="仿宋" w:eastAsia="仿宋"/>
                <w:b/>
                <w:bCs/>
                <w:snapToGrid w:val="0"/>
                <w:kern w:val="28"/>
                <w:sz w:val="28"/>
                <w:szCs w:val="28"/>
              </w:rPr>
            </w:pPr>
          </w:p>
        </w:tc>
        <w:tc>
          <w:tcPr>
            <w:tcW w:w="1417" w:type="dxa"/>
            <w:vAlign w:val="center"/>
          </w:tcPr>
          <w:p>
            <w:pPr>
              <w:snapToGrid w:val="0"/>
              <w:contextualSpacing/>
              <w:rPr>
                <w:rFonts w:ascii="仿宋" w:hAnsi="仿宋" w:eastAsia="仿宋"/>
                <w:snapToGrid w:val="0"/>
                <w:kern w:val="28"/>
                <w:sz w:val="28"/>
                <w:szCs w:val="28"/>
              </w:rPr>
            </w:pPr>
          </w:p>
        </w:tc>
        <w:tc>
          <w:tcPr>
            <w:tcW w:w="4339" w:type="dxa"/>
            <w:vAlign w:val="center"/>
          </w:tcPr>
          <w:p>
            <w:pPr>
              <w:snapToGrid w:val="0"/>
              <w:contextualSpacing/>
              <w:rPr>
                <w:rFonts w:ascii="仿宋" w:hAnsi="仿宋" w:eastAsia="仿宋"/>
                <w:b/>
                <w:bCs/>
                <w:snapToGrid w:val="0"/>
                <w:kern w:val="28"/>
                <w:sz w:val="28"/>
                <w:szCs w:val="28"/>
              </w:rPr>
            </w:pPr>
            <w:r>
              <w:rPr>
                <w:rFonts w:hint="eastAsia" w:ascii="仿宋" w:hAnsi="仿宋" w:eastAsia="仿宋"/>
                <w:b/>
                <w:bCs/>
                <w:snapToGrid w:val="0"/>
                <w:kern w:val="28"/>
                <w:sz w:val="28"/>
                <w:szCs w:val="28"/>
              </w:rPr>
              <w:t>中国注册会计师：</w:t>
            </w:r>
          </w:p>
        </w:tc>
      </w:tr>
      <w:tr>
        <w:tblPrEx>
          <w:tblLayout w:type="fixed"/>
          <w:tblCellMar>
            <w:top w:w="0" w:type="dxa"/>
            <w:left w:w="108" w:type="dxa"/>
            <w:bottom w:w="0" w:type="dxa"/>
            <w:right w:w="108" w:type="dxa"/>
          </w:tblCellMar>
        </w:tblPrEx>
        <w:trPr>
          <w:cantSplit/>
          <w:trHeight w:val="714" w:hRule="atLeast"/>
        </w:trPr>
        <w:tc>
          <w:tcPr>
            <w:tcW w:w="3652" w:type="dxa"/>
            <w:vAlign w:val="bottom"/>
          </w:tcPr>
          <w:p>
            <w:pPr>
              <w:snapToGrid w:val="0"/>
              <w:contextualSpacing/>
              <w:jc w:val="center"/>
              <w:rPr>
                <w:rFonts w:ascii="仿宋" w:hAnsi="仿宋" w:eastAsia="仿宋"/>
                <w:snapToGrid w:val="0"/>
                <w:kern w:val="28"/>
                <w:sz w:val="28"/>
                <w:szCs w:val="28"/>
              </w:rPr>
            </w:pPr>
            <w:r>
              <w:rPr>
                <w:rFonts w:hint="eastAsia" w:ascii="仿宋" w:hAnsi="仿宋" w:eastAsia="仿宋"/>
                <w:b/>
                <w:bCs/>
                <w:snapToGrid w:val="0"/>
                <w:kern w:val="28"/>
                <w:sz w:val="28"/>
                <w:szCs w:val="28"/>
              </w:rPr>
              <w:t>中国福州市</w:t>
            </w:r>
          </w:p>
        </w:tc>
        <w:tc>
          <w:tcPr>
            <w:tcW w:w="1417" w:type="dxa"/>
            <w:vAlign w:val="center"/>
          </w:tcPr>
          <w:p>
            <w:pPr>
              <w:snapToGrid w:val="0"/>
              <w:contextualSpacing/>
              <w:rPr>
                <w:rFonts w:ascii="仿宋" w:hAnsi="仿宋" w:eastAsia="仿宋"/>
                <w:snapToGrid w:val="0"/>
                <w:kern w:val="28"/>
                <w:sz w:val="28"/>
                <w:szCs w:val="28"/>
              </w:rPr>
            </w:pPr>
          </w:p>
        </w:tc>
        <w:tc>
          <w:tcPr>
            <w:tcW w:w="4339" w:type="dxa"/>
            <w:vAlign w:val="bottom"/>
          </w:tcPr>
          <w:p>
            <w:pPr>
              <w:tabs>
                <w:tab w:val="left" w:pos="2800"/>
              </w:tabs>
              <w:snapToGrid w:val="0"/>
              <w:contextualSpacing/>
              <w:jc w:val="left"/>
              <w:rPr>
                <w:rFonts w:ascii="仿宋" w:hAnsi="仿宋" w:eastAsia="仿宋"/>
                <w:b/>
                <w:bCs/>
                <w:snapToGrid w:val="0"/>
                <w:kern w:val="28"/>
                <w:sz w:val="28"/>
                <w:szCs w:val="28"/>
              </w:rPr>
            </w:pPr>
            <w:r>
              <w:rPr>
                <w:rFonts w:hint="eastAsia" w:ascii="仿宋" w:hAnsi="仿宋" w:eastAsia="仿宋"/>
                <w:b/>
                <w:bCs/>
                <w:snapToGrid w:val="0"/>
                <w:kern w:val="28"/>
                <w:sz w:val="28"/>
                <w:szCs w:val="28"/>
              </w:rPr>
              <w:t>二○一八年六月十三日</w:t>
            </w:r>
          </w:p>
        </w:tc>
      </w:tr>
    </w:tbl>
    <w:p>
      <w:pPr>
        <w:ind w:firstLine="640" w:firstLineChars="200"/>
        <w:rPr>
          <w:rFonts w:ascii="仿宋" w:hAnsi="仿宋" w:eastAsia="仿宋" w:cs="仿宋"/>
          <w:kern w:val="0"/>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127812"/>
    </w:sdtPr>
    <w:sdtContent>
      <w:p>
        <w:pPr>
          <w:pStyle w:val="3"/>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B3FD7"/>
    <w:rsid w:val="0001782B"/>
    <w:rsid w:val="00035E62"/>
    <w:rsid w:val="00082EE1"/>
    <w:rsid w:val="000A1306"/>
    <w:rsid w:val="000E2EF7"/>
    <w:rsid w:val="000F7F0B"/>
    <w:rsid w:val="001064EF"/>
    <w:rsid w:val="0010744F"/>
    <w:rsid w:val="001656A8"/>
    <w:rsid w:val="00213421"/>
    <w:rsid w:val="00237FDD"/>
    <w:rsid w:val="00243A17"/>
    <w:rsid w:val="00283A58"/>
    <w:rsid w:val="002B1B0B"/>
    <w:rsid w:val="002D66E1"/>
    <w:rsid w:val="002F3931"/>
    <w:rsid w:val="003272D1"/>
    <w:rsid w:val="00337508"/>
    <w:rsid w:val="00392879"/>
    <w:rsid w:val="003A6DD2"/>
    <w:rsid w:val="003B6A8A"/>
    <w:rsid w:val="003D40FF"/>
    <w:rsid w:val="00402C14"/>
    <w:rsid w:val="00435C07"/>
    <w:rsid w:val="00471B6A"/>
    <w:rsid w:val="00476D36"/>
    <w:rsid w:val="00492EB0"/>
    <w:rsid w:val="004C0B8A"/>
    <w:rsid w:val="004D4575"/>
    <w:rsid w:val="0054160F"/>
    <w:rsid w:val="00545BD8"/>
    <w:rsid w:val="005A1429"/>
    <w:rsid w:val="005B3FD7"/>
    <w:rsid w:val="00606D42"/>
    <w:rsid w:val="00691F40"/>
    <w:rsid w:val="00695948"/>
    <w:rsid w:val="006A5C97"/>
    <w:rsid w:val="00712189"/>
    <w:rsid w:val="00727D0A"/>
    <w:rsid w:val="0074084F"/>
    <w:rsid w:val="007A0E96"/>
    <w:rsid w:val="007A51B7"/>
    <w:rsid w:val="007B4E4C"/>
    <w:rsid w:val="007D3491"/>
    <w:rsid w:val="00846BEB"/>
    <w:rsid w:val="008B58BF"/>
    <w:rsid w:val="00946B18"/>
    <w:rsid w:val="009C040E"/>
    <w:rsid w:val="009E29CE"/>
    <w:rsid w:val="00A70248"/>
    <w:rsid w:val="00A947E7"/>
    <w:rsid w:val="00AB1127"/>
    <w:rsid w:val="00AE1BBA"/>
    <w:rsid w:val="00AE1DED"/>
    <w:rsid w:val="00AF0524"/>
    <w:rsid w:val="00B4268C"/>
    <w:rsid w:val="00B445D4"/>
    <w:rsid w:val="00B511FA"/>
    <w:rsid w:val="00B528A1"/>
    <w:rsid w:val="00B73B48"/>
    <w:rsid w:val="00BA2CE8"/>
    <w:rsid w:val="00BF2BF8"/>
    <w:rsid w:val="00BF5E87"/>
    <w:rsid w:val="00C03026"/>
    <w:rsid w:val="00C06C65"/>
    <w:rsid w:val="00C06C83"/>
    <w:rsid w:val="00C12605"/>
    <w:rsid w:val="00C339EF"/>
    <w:rsid w:val="00C616FE"/>
    <w:rsid w:val="00CB5CBD"/>
    <w:rsid w:val="00CB7132"/>
    <w:rsid w:val="00D2278A"/>
    <w:rsid w:val="00D678D9"/>
    <w:rsid w:val="00D91C4D"/>
    <w:rsid w:val="00DA513B"/>
    <w:rsid w:val="00DB4211"/>
    <w:rsid w:val="00DC16DC"/>
    <w:rsid w:val="00E11E8C"/>
    <w:rsid w:val="00E23059"/>
    <w:rsid w:val="00E749EF"/>
    <w:rsid w:val="00E82A2A"/>
    <w:rsid w:val="00EA7DE5"/>
    <w:rsid w:val="00EE1C3A"/>
    <w:rsid w:val="00EF2767"/>
    <w:rsid w:val="00F84D06"/>
    <w:rsid w:val="00FA7CC9"/>
    <w:rsid w:val="0C126A6A"/>
    <w:rsid w:val="2CC953E9"/>
    <w:rsid w:val="341A3BE9"/>
    <w:rsid w:val="3EC75DA9"/>
    <w:rsid w:val="49A92024"/>
    <w:rsid w:val="4FD567B1"/>
    <w:rsid w:val="50E9325E"/>
    <w:rsid w:val="646E2A94"/>
    <w:rsid w:val="74A051C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uiPriority w:val="0"/>
    <w:rPr>
      <w:kern w:val="2"/>
      <w:sz w:val="18"/>
      <w:szCs w:val="18"/>
    </w:rPr>
  </w:style>
  <w:style w:type="character" w:customStyle="1" w:styleId="8">
    <w:name w:val="页脚 Char"/>
    <w:basedOn w:val="5"/>
    <w:link w:val="3"/>
    <w:qFormat/>
    <w:uiPriority w:val="99"/>
    <w:rPr>
      <w:kern w:val="2"/>
      <w:sz w:val="18"/>
      <w:szCs w:val="18"/>
    </w:rPr>
  </w:style>
  <w:style w:type="paragraph" w:customStyle="1" w:styleId="9">
    <w:name w:val="列出段落1"/>
    <w:basedOn w:val="1"/>
    <w:unhideWhenUsed/>
    <w:qFormat/>
    <w:uiPriority w:val="99"/>
    <w:pPr>
      <w:ind w:firstLine="420" w:firstLineChars="200"/>
    </w:pPr>
  </w:style>
  <w:style w:type="character" w:customStyle="1" w:styleId="10">
    <w:name w:val="批注框文本 Char"/>
    <w:basedOn w:val="5"/>
    <w:link w:val="2"/>
    <w:uiPriority w:val="0"/>
    <w:rPr>
      <w:rFonts w:asciiTheme="minorHAnsi" w:hAnsiTheme="minorHAnsi" w:eastAsiaTheme="minorEastAsia" w:cstheme="minorBidi"/>
      <w:kern w:val="2"/>
      <w:sz w:val="18"/>
      <w:szCs w:val="18"/>
    </w:rPr>
  </w:style>
  <w:style w:type="paragraph" w:customStyle="1" w:styleId="1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
    <w:name w:val="列出段落2"/>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473</Words>
  <Characters>2698</Characters>
  <Lines>22</Lines>
  <Paragraphs>6</Paragraphs>
  <TotalTime>165</TotalTime>
  <ScaleCrop>false</ScaleCrop>
  <LinksUpToDate>false</LinksUpToDate>
  <CharactersWithSpaces>3165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lenovo</cp:lastModifiedBy>
  <cp:lastPrinted>2017-12-13T08:50:00Z</cp:lastPrinted>
  <dcterms:modified xsi:type="dcterms:W3CDTF">2018-06-20T08:04:49Z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