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1163"/>
        <w:gridCol w:w="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做出处罚的机关名称和日期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〔202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晋江市康乐乳胶用品有限公司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涉嫌生产未取得医疗器械注册证的第二类医疗器械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晋江市康乐乳胶用品有限公司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91350582772916705T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张美珍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当事人涉涉嫌生产未取得医疗器械注册证的第二类医疗器械。现场对晋江市康乐乳胶用品有限公司生产线卷边胶辊2根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和干式电检机不锈钢模具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80根，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采取了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扣押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420" w:firstLineChars="200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依据《医疗器械监督管理条例》第七十条第一款第三项的规定。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WY4MzAyOWVlNDMyOGMzMTNkMWMzYzcyMjAxMzMifQ=="/>
  </w:docVars>
  <w:rsids>
    <w:rsidRoot w:val="0AFC60A5"/>
    <w:rsid w:val="00100F81"/>
    <w:rsid w:val="00183C08"/>
    <w:rsid w:val="00210B0C"/>
    <w:rsid w:val="003F173A"/>
    <w:rsid w:val="00956B80"/>
    <w:rsid w:val="009E39C7"/>
    <w:rsid w:val="00D93752"/>
    <w:rsid w:val="00E4746E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4FB78A1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8500681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767DA8"/>
    <w:rsid w:val="7FE03F45"/>
    <w:rsid w:val="DBF75A3C"/>
    <w:rsid w:val="DF9E9DC0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415</Characters>
  <Lines>3</Lines>
  <Paragraphs>1</Paragraphs>
  <TotalTime>1</TotalTime>
  <ScaleCrop>false</ScaleCrop>
  <LinksUpToDate>false</LinksUpToDate>
  <CharactersWithSpaces>415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2019-11-06T06:53:00Z</dcterms:created>
  <dc:creator>林振顺</dc:creator>
  <cp:lastModifiedBy>admin123</cp:lastModifiedBy>
  <cp:lastPrinted>2022-10-26T06:36:00Z</cp:lastPrinted>
  <dcterms:modified xsi:type="dcterms:W3CDTF">2024-11-18T16:34:06Z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CCF6BB56584E45809FAD0DD7D2EF1DEA</vt:lpwstr>
  </property>
</Properties>
</file>