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强制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815"/>
        <w:gridCol w:w="1016"/>
      </w:tblGrid>
      <w:tr>
        <w:trPr>
          <w:trHeight w:val="171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依据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做出处罚的机关名称和日期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闽明药稽强制〔2023〕1号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  <w:t>三明宏仁医药有限公司涉嫌销售劣药马勃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>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  <w:t>三明宏仁医药有限公司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auto"/>
                <w:lang w:val="en-US" w:eastAsia="zh-CN"/>
              </w:rPr>
              <w:t>91350402MA2YLL716H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坤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eastAsia="zh-CN"/>
              </w:rPr>
              <w:t>经检验不合格的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2.4公斤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eastAsia="zh-CN"/>
              </w:rPr>
              <w:t>中药饮片马勃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/>
                <w:lang w:eastAsia="zh-CN"/>
              </w:rPr>
              <w:t>予以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扣押行政强制措施。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231F20"/>
                <w:spacing w:val="0"/>
                <w:w w:val="100"/>
                <w:kern w:val="0"/>
                <w:sz w:val="24"/>
                <w:szCs w:val="24"/>
                <w:u w:val="none" w:color="auto"/>
                <w:lang w:val="en-US" w:eastAsia="zh-CN"/>
              </w:rPr>
              <w:t>《中华人民共和国药品管理法》第一百条第二款和《中华人民共和国行政强制法》第二十五条第一款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的规定。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福建省药品监督管理局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三明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药品稽查办公室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，20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日。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TNmZjhlZWZmZDlhOGUyNWEyYTJiOGNlOTU0YjIifQ=="/>
  </w:docVars>
  <w:rsids>
    <w:rsidRoot w:val="0AFC60A5"/>
    <w:rsid w:val="00100F81"/>
    <w:rsid w:val="003F173A"/>
    <w:rsid w:val="009E39C7"/>
    <w:rsid w:val="00D93752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6D503C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B0F1E83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646</Characters>
  <Lines>1</Lines>
  <Paragraphs>1</Paragraphs>
  <TotalTime>6</TotalTime>
  <ScaleCrop>false</ScaleCrop>
  <LinksUpToDate>false</LinksUpToDate>
  <CharactersWithSpaces>647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2019-11-05T06:53:00Z</dcterms:created>
  <dc:creator>林振顺</dc:creator>
  <cp:lastModifiedBy>小麦林</cp:lastModifiedBy>
  <cp:lastPrinted>2023-05-25T02:37:00Z</cp:lastPrinted>
  <dcterms:modified xsi:type="dcterms:W3CDTF">2023-05-25T02:45:22Z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CCF6BB56584E45809FAD0DD7D2EF1DEA</vt:lpwstr>
  </property>
</Properties>
</file>