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center"/>
        <w:textAlignment w:val="auto"/>
        <w:outlineLvl w:val="9"/>
        <w:rPr>
          <w:rFonts w:hint="eastAsia"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lang w:eastAsia="zh-CN"/>
        </w:rPr>
        <w:t>福建省药品</w:t>
      </w:r>
      <w:r>
        <w:rPr>
          <w:rFonts w:hint="eastAsia" w:ascii="Times New Roman" w:hAnsi="Times New Roman" w:eastAsia="方正小标宋简体" w:cs="方正小标宋简体"/>
          <w:bCs/>
          <w:color w:val="000000"/>
          <w:sz w:val="44"/>
          <w:szCs w:val="44"/>
        </w:rPr>
        <w:t>监督管理局</w:t>
      </w:r>
    </w:p>
    <w:p>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center"/>
        <w:textAlignment w:val="auto"/>
        <w:outlineLvl w:val="9"/>
        <w:rPr>
          <w:rFonts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rPr>
        <w:t>行政处罚决定书</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闽药</w:t>
      </w:r>
      <w:r>
        <w:rPr>
          <w:rFonts w:hint="eastAsia" w:ascii="楷体_GB2312" w:hAnsi="楷体_GB2312" w:eastAsia="楷体_GB2312" w:cs="楷体_GB2312"/>
          <w:color w:val="000000"/>
          <w:sz w:val="32"/>
          <w:szCs w:val="32"/>
        </w:rPr>
        <w:t>监</w:t>
      </w:r>
      <w:r>
        <w:rPr>
          <w:rFonts w:hint="eastAsia" w:ascii="楷体_GB2312" w:hAnsi="楷体_GB2312" w:eastAsia="楷体_GB2312" w:cs="楷体_GB2312"/>
          <w:color w:val="000000"/>
          <w:sz w:val="32"/>
          <w:szCs w:val="32"/>
          <w:u w:val="none"/>
          <w:lang w:eastAsia="zh-CN"/>
        </w:rPr>
        <w:t>榕稽办处罚</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2026</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11</w:t>
      </w:r>
      <w:r>
        <w:rPr>
          <w:rFonts w:hint="eastAsia" w:ascii="楷体_GB2312" w:hAnsi="楷体_GB2312" w:eastAsia="楷体_GB2312" w:cs="楷体_GB2312"/>
          <w:color w:val="000000"/>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楷体_GB2312" w:hAnsi="楷体_GB2312" w:eastAsia="楷体_GB2312" w:cs="楷体_GB2312"/>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20" w:lineRule="exact"/>
        <w:ind w:left="1280" w:leftChars="0" w:right="0" w:rightChars="0" w:hanging="1280" w:hangingChars="400"/>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kern w:val="1"/>
          <w:sz w:val="32"/>
          <w:szCs w:val="32"/>
        </w:rPr>
        <w:t>当事人：</w:t>
      </w:r>
      <w:r>
        <w:rPr>
          <w:rFonts w:hint="eastAsia" w:ascii="仿宋_GB2312" w:hAnsi="仿宋_GB2312" w:eastAsia="仿宋_GB2312" w:cs="仿宋_GB2312"/>
          <w:b w:val="0"/>
          <w:bCs w:val="0"/>
          <w:color w:val="auto"/>
          <w:spacing w:val="0"/>
          <w:sz w:val="32"/>
          <w:szCs w:val="32"/>
          <w:u w:val="none"/>
          <w:lang w:val="en-US" w:eastAsia="zh-CN"/>
        </w:rPr>
        <w:t>福建省协联医药有限公司</w:t>
      </w:r>
    </w:p>
    <w:p>
      <w:pPr>
        <w:keepNext w:val="0"/>
        <w:keepLines w:val="0"/>
        <w:pageBreakBefore w:val="0"/>
        <w:widowControl w:val="0"/>
        <w:kinsoku/>
        <w:wordWrap/>
        <w:overflowPunct/>
        <w:topLinePunct w:val="0"/>
        <w:autoSpaceDE/>
        <w:autoSpaceDN/>
        <w:bidi w:val="0"/>
        <w:adjustRightInd/>
        <w:snapToGrid/>
        <w:spacing w:line="620" w:lineRule="exact"/>
        <w:ind w:left="140" w:right="0" w:rightChars="0" w:hanging="140"/>
        <w:textAlignment w:val="auto"/>
        <w:rPr>
          <w:rFonts w:hint="eastAsia" w:ascii="仿宋_GB2312" w:hAnsi="仿宋_GB2312" w:eastAsia="仿宋_GB2312" w:cs="仿宋_GB2312"/>
          <w:kern w:val="1"/>
          <w:sz w:val="32"/>
          <w:szCs w:val="32"/>
          <w:lang w:eastAsia="zh-CN"/>
        </w:rPr>
      </w:pPr>
      <w:r>
        <w:rPr>
          <w:rFonts w:hint="eastAsia" w:ascii="仿宋_GB2312" w:hAnsi="仿宋_GB2312" w:eastAsia="仿宋_GB2312" w:cs="仿宋_GB2312"/>
          <w:kern w:val="1"/>
          <w:sz w:val="32"/>
          <w:szCs w:val="32"/>
        </w:rPr>
        <w:t>主体资格证照名称：</w:t>
      </w:r>
      <w:r>
        <w:rPr>
          <w:rFonts w:hint="eastAsia" w:ascii="仿宋_GB2312" w:hAnsi="仿宋_GB2312" w:eastAsia="仿宋_GB2312" w:cs="仿宋_GB2312"/>
          <w:kern w:val="1"/>
          <w:sz w:val="32"/>
          <w:szCs w:val="32"/>
          <w:lang w:eastAsia="zh-CN"/>
        </w:rPr>
        <w:t>营业执照</w:t>
      </w:r>
    </w:p>
    <w:p>
      <w:pPr>
        <w:keepNext w:val="0"/>
        <w:keepLines w:val="0"/>
        <w:pageBreakBefore w:val="0"/>
        <w:widowControl w:val="0"/>
        <w:kinsoku/>
        <w:wordWrap/>
        <w:overflowPunct/>
        <w:topLinePunct w:val="0"/>
        <w:autoSpaceDE/>
        <w:autoSpaceDN/>
        <w:bidi w:val="0"/>
        <w:adjustRightInd/>
        <w:snapToGrid/>
        <w:spacing w:line="620" w:lineRule="exact"/>
        <w:ind w:right="0" w:rightChars="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统一社会信用代码（注册号）：</w:t>
      </w:r>
      <w:r>
        <w:rPr>
          <w:rFonts w:hint="eastAsia" w:ascii="仿宋_GB2312" w:hAnsi="仿宋_GB2312" w:eastAsia="仿宋_GB2312" w:cs="仿宋_GB2312"/>
          <w:color w:val="auto"/>
          <w:sz w:val="32"/>
          <w:szCs w:val="32"/>
        </w:rPr>
        <w:t>91350181665056025Y</w:t>
      </w:r>
    </w:p>
    <w:p>
      <w:pPr>
        <w:keepNext w:val="0"/>
        <w:keepLines w:val="0"/>
        <w:pageBreakBefore w:val="0"/>
        <w:widowControl w:val="0"/>
        <w:kinsoku/>
        <w:wordWrap/>
        <w:overflowPunct/>
        <w:topLinePunct w:val="0"/>
        <w:autoSpaceDE/>
        <w:autoSpaceDN/>
        <w:bidi w:val="0"/>
        <w:adjustRightInd/>
        <w:snapToGrid/>
        <w:spacing w:line="620" w:lineRule="exact"/>
        <w:ind w:left="2131" w:right="0" w:rightChars="0" w:hanging="2131" w:hangingChars="666"/>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住所（住址）：</w:t>
      </w:r>
      <w:r>
        <w:rPr>
          <w:rFonts w:hint="eastAsia" w:ascii="仿宋_GB2312" w:hAnsi="仿宋_GB2312" w:eastAsia="仿宋_GB2312" w:cs="仿宋_GB2312"/>
          <w:color w:val="auto"/>
          <w:spacing w:val="-6"/>
          <w:sz w:val="32"/>
          <w:szCs w:val="32"/>
        </w:rPr>
        <w:t>福建省福州市福清市龙江街道下梧村东埔（47段147-151地号）6层</w:t>
      </w:r>
    </w:p>
    <w:p>
      <w:pPr>
        <w:keepNext w:val="0"/>
        <w:keepLines w:val="0"/>
        <w:pageBreakBefore w:val="0"/>
        <w:widowControl w:val="0"/>
        <w:kinsoku/>
        <w:wordWrap/>
        <w:overflowPunct/>
        <w:topLinePunct w:val="0"/>
        <w:autoSpaceDE/>
        <w:autoSpaceDN/>
        <w:bidi w:val="0"/>
        <w:adjustRightInd/>
        <w:snapToGrid/>
        <w:spacing w:line="620" w:lineRule="exact"/>
        <w:ind w:left="140" w:right="0" w:rightChars="0" w:hanging="140"/>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rPr>
        <w:t>法定代表人（负责人、经营者）：</w:t>
      </w:r>
      <w:r>
        <w:rPr>
          <w:rFonts w:hint="eastAsia" w:ascii="仿宋_GB2312" w:hAnsi="仿宋_GB2312" w:eastAsia="仿宋_GB2312" w:cs="仿宋_GB2312"/>
          <w:color w:val="auto"/>
          <w:spacing w:val="-6"/>
          <w:sz w:val="32"/>
          <w:szCs w:val="32"/>
        </w:rPr>
        <w:t>张</w:t>
      </w:r>
      <w:r>
        <w:rPr>
          <w:rFonts w:hint="eastAsia" w:ascii="仿宋_GB2312" w:hAnsi="仿宋_GB2312" w:eastAsia="仿宋_GB2312" w:cs="仿宋_GB2312"/>
          <w:color w:val="auto"/>
          <w:spacing w:val="-6"/>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20" w:lineRule="exact"/>
        <w:ind w:left="2080" w:right="0" w:rightChars="0" w:hanging="1937" w:hangingChars="650"/>
        <w:jc w:val="left"/>
        <w:textAlignment w:val="auto"/>
        <w:rPr>
          <w:rFonts w:hint="eastAsia" w:ascii="仿宋_GB2312" w:hAnsi="仿宋_GB2312" w:eastAsia="仿宋_GB2312" w:cs="仿宋_GB2312"/>
          <w:color w:val="000000"/>
          <w:spacing w:val="-11"/>
          <w:sz w:val="32"/>
          <w:szCs w:val="32"/>
          <w:lang w:val="en-US" w:eastAsia="zh-CN"/>
        </w:rPr>
      </w:pP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根据举报线索。</w:t>
      </w:r>
      <w:r>
        <w:rPr>
          <w:rFonts w:hint="default" w:ascii="仿宋_GB2312" w:hAnsi="仿宋_GB2312" w:eastAsia="仿宋_GB2312" w:cs="仿宋_GB2312"/>
          <w:color w:val="000000"/>
          <w:sz w:val="32"/>
          <w:szCs w:val="32"/>
          <w:u w:val="none"/>
          <w:lang w:val="en-US" w:eastAsia="zh-CN"/>
        </w:rPr>
        <w:t>经查，</w:t>
      </w:r>
      <w:r>
        <w:rPr>
          <w:rFonts w:hint="eastAsia" w:ascii="仿宋_GB2312" w:hAnsi="仿宋_GB2312" w:eastAsia="仿宋_GB2312" w:cs="仿宋_GB2312"/>
          <w:color w:val="000000"/>
          <w:sz w:val="32"/>
          <w:szCs w:val="32"/>
          <w:u w:val="none"/>
          <w:lang w:val="en-US" w:eastAsia="zh-CN"/>
        </w:rPr>
        <w:t>当事人从事药品经营活动未遵守药品经营质量管理规范。</w:t>
      </w:r>
      <w:r>
        <w:rPr>
          <w:rFonts w:hint="default" w:ascii="仿宋_GB2312" w:hAnsi="仿宋_GB2312" w:eastAsia="仿宋_GB2312" w:cs="仿宋_GB2312"/>
          <w:color w:val="000000"/>
          <w:sz w:val="32"/>
          <w:szCs w:val="32"/>
          <w:u w:val="none"/>
          <w:lang w:val="en-US" w:eastAsia="zh-CN"/>
        </w:rPr>
        <w:t>违法行为发生期间，</w:t>
      </w:r>
      <w:r>
        <w:rPr>
          <w:rFonts w:hint="eastAsia" w:ascii="仿宋_GB2312" w:hAnsi="仿宋_GB2312" w:eastAsia="仿宋_GB2312" w:cs="仿宋_GB2312"/>
          <w:color w:val="000000"/>
          <w:sz w:val="32"/>
          <w:szCs w:val="32"/>
          <w:u w:val="none"/>
        </w:rPr>
        <w:t>张</w:t>
      </w:r>
      <w:r>
        <w:rPr>
          <w:rFonts w:hint="eastAsia" w:ascii="仿宋_GB2312" w:hAnsi="仿宋_GB2312" w:eastAsia="仿宋_GB2312" w:cs="仿宋_GB2312"/>
          <w:color w:val="000000"/>
          <w:sz w:val="32"/>
          <w:szCs w:val="32"/>
          <w:u w:val="none"/>
          <w:lang w:val="en-US" w:eastAsia="zh-CN"/>
        </w:rPr>
        <w:t>*</w:t>
      </w:r>
      <w:r>
        <w:rPr>
          <w:rFonts w:hint="default" w:ascii="仿宋_GB2312" w:hAnsi="仿宋_GB2312" w:eastAsia="仿宋_GB2312" w:cs="仿宋_GB2312"/>
          <w:color w:val="000000"/>
          <w:sz w:val="32"/>
          <w:szCs w:val="32"/>
          <w:u w:val="none"/>
          <w:lang w:val="en-US" w:eastAsia="zh-CN"/>
        </w:rPr>
        <w:t>为</w:t>
      </w:r>
      <w:r>
        <w:rPr>
          <w:rFonts w:hint="eastAsia" w:ascii="仿宋_GB2312" w:hAnsi="仿宋_GB2312" w:eastAsia="仿宋_GB2312" w:cs="仿宋_GB2312"/>
          <w:color w:val="000000"/>
          <w:sz w:val="32"/>
          <w:szCs w:val="32"/>
          <w:u w:val="none"/>
          <w:lang w:val="en-US" w:eastAsia="zh-CN"/>
        </w:rPr>
        <w:t>当事人</w:t>
      </w:r>
      <w:r>
        <w:rPr>
          <w:rFonts w:hint="default" w:ascii="仿宋_GB2312" w:hAnsi="仿宋_GB2312" w:eastAsia="仿宋_GB2312" w:cs="仿宋_GB2312"/>
          <w:color w:val="000000"/>
          <w:sz w:val="32"/>
          <w:szCs w:val="32"/>
          <w:u w:val="none"/>
          <w:lang w:val="en-US" w:eastAsia="zh-CN"/>
        </w:rPr>
        <w:t>的法定代表人</w:t>
      </w:r>
      <w:r>
        <w:rPr>
          <w:rFonts w:hint="eastAsia" w:ascii="仿宋_GB2312" w:hAnsi="仿宋_GB2312" w:eastAsia="仿宋_GB2312" w:cs="仿宋_GB2312"/>
          <w:color w:val="000000"/>
          <w:sz w:val="32"/>
          <w:szCs w:val="32"/>
          <w:u w:val="none"/>
          <w:lang w:val="en-US" w:eastAsia="zh-CN"/>
        </w:rPr>
        <w:t>、股东，</w:t>
      </w:r>
      <w:r>
        <w:rPr>
          <w:rFonts w:hint="default" w:ascii="仿宋_GB2312" w:hAnsi="仿宋_GB2312" w:eastAsia="仿宋_GB2312" w:cs="仿宋_GB2312"/>
          <w:color w:val="000000"/>
          <w:sz w:val="32"/>
          <w:szCs w:val="32"/>
          <w:u w:val="none"/>
          <w:lang w:val="en-US" w:eastAsia="zh-CN"/>
        </w:rPr>
        <w:t>兼负责</w:t>
      </w:r>
      <w:r>
        <w:rPr>
          <w:rFonts w:hint="eastAsia" w:ascii="仿宋_GB2312" w:hAnsi="仿宋_GB2312" w:eastAsia="仿宋_GB2312" w:cs="仿宋_GB2312"/>
          <w:color w:val="000000"/>
          <w:sz w:val="32"/>
          <w:szCs w:val="32"/>
          <w:u w:val="none"/>
          <w:lang w:val="en-US" w:eastAsia="zh-CN"/>
        </w:rPr>
        <w:t>企业</w:t>
      </w:r>
      <w:r>
        <w:rPr>
          <w:rFonts w:hint="default" w:ascii="仿宋_GB2312" w:hAnsi="仿宋_GB2312" w:eastAsia="仿宋_GB2312" w:cs="仿宋_GB2312"/>
          <w:color w:val="000000"/>
          <w:sz w:val="32"/>
          <w:szCs w:val="32"/>
          <w:u w:val="none"/>
          <w:lang w:val="en-US" w:eastAsia="zh-CN"/>
        </w:rPr>
        <w:t>的销售工作，为直接责任人。</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本局认为，当事人</w:t>
      </w:r>
      <w:r>
        <w:rPr>
          <w:rFonts w:hint="default" w:ascii="仿宋_GB2312" w:hAnsi="仿宋_GB2312" w:eastAsia="仿宋_GB2312" w:cs="仿宋_GB2312"/>
          <w:color w:val="000000"/>
          <w:sz w:val="32"/>
          <w:szCs w:val="32"/>
          <w:u w:val="none"/>
          <w:lang w:val="en-US" w:eastAsia="zh-CN"/>
        </w:rPr>
        <w:t>违反了《中华人民共和国药品管理法》</w:t>
      </w:r>
      <w:r>
        <w:rPr>
          <w:rFonts w:hint="eastAsia" w:ascii="仿宋_GB2312" w:hAnsi="仿宋_GB2312" w:eastAsia="仿宋_GB2312" w:cs="仿宋_GB2312"/>
          <w:color w:val="000000"/>
          <w:sz w:val="32"/>
          <w:szCs w:val="32"/>
          <w:u w:val="none"/>
          <w:lang w:val="en-US" w:eastAsia="zh-CN"/>
        </w:rPr>
        <w:t>（以下简称“药品管理法”）</w:t>
      </w:r>
      <w:r>
        <w:rPr>
          <w:rFonts w:hint="default" w:ascii="仿宋_GB2312" w:hAnsi="仿宋_GB2312" w:eastAsia="仿宋_GB2312" w:cs="仿宋_GB2312"/>
          <w:color w:val="000000"/>
          <w:sz w:val="32"/>
          <w:szCs w:val="32"/>
          <w:u w:val="none"/>
          <w:lang w:val="en-US" w:eastAsia="zh-CN"/>
        </w:rPr>
        <w:t>第五十三条第一款、第五十七条的规定，</w:t>
      </w:r>
      <w:r>
        <w:rPr>
          <w:rFonts w:hint="eastAsia" w:ascii="仿宋_GB2312" w:hAnsi="仿宋_GB2312" w:eastAsia="仿宋_GB2312" w:cs="仿宋_GB2312"/>
          <w:color w:val="000000"/>
          <w:sz w:val="32"/>
          <w:szCs w:val="32"/>
          <w:u w:val="none"/>
          <w:lang w:val="en-US" w:eastAsia="zh-CN"/>
        </w:rPr>
        <w:t>且</w:t>
      </w:r>
      <w:r>
        <w:rPr>
          <w:rFonts w:hint="default" w:ascii="仿宋_GB2312" w:hAnsi="仿宋_GB2312" w:eastAsia="仿宋_GB2312" w:cs="仿宋_GB2312"/>
          <w:color w:val="000000"/>
          <w:sz w:val="32"/>
          <w:szCs w:val="32"/>
          <w:u w:val="none"/>
          <w:lang w:val="en-US" w:eastAsia="zh-CN"/>
        </w:rPr>
        <w:t>符合《药品经营和使用质量监督管理办法》第六十九条第（三）（五）项规定，构成未遵守药品经营质量管理规范经营药品的行为，且情节严重。</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2026年8月3日，本局将行政处罚告知书依法送达当事人，并告知当事人具有陈述申辩、要求听证的权利。2026年8月7日，当事人提起陈述申辩意见，本局未采纳当事人申辩意见。</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本局认为，当事人</w:t>
      </w:r>
      <w:r>
        <w:rPr>
          <w:rFonts w:hint="eastAsia" w:ascii="仿宋_GB2312" w:hAnsi="仿宋_GB2312" w:eastAsia="仿宋_GB2312" w:cs="仿宋_GB2312"/>
          <w:color w:val="000000"/>
          <w:sz w:val="32"/>
          <w:szCs w:val="32"/>
          <w:u w:val="none"/>
          <w:lang w:bidi="ar"/>
        </w:rPr>
        <w:t>虚构药品流向</w:t>
      </w:r>
      <w:r>
        <w:rPr>
          <w:rFonts w:hint="eastAsia" w:ascii="仿宋_GB2312" w:hAnsi="仿宋_GB2312" w:eastAsia="仿宋_GB2312" w:cs="仿宋_GB2312"/>
          <w:color w:val="000000"/>
          <w:sz w:val="32"/>
          <w:szCs w:val="32"/>
          <w:u w:val="none"/>
          <w:lang w:val="en-US" w:eastAsia="zh-CN"/>
        </w:rPr>
        <w:t>和将药品销售给宠物医院及无证诊所的行为</w:t>
      </w:r>
      <w:r>
        <w:rPr>
          <w:rFonts w:hint="eastAsia" w:ascii="仿宋_GB2312" w:hAnsi="仿宋_GB2312" w:eastAsia="仿宋_GB2312" w:cs="仿宋_GB2312"/>
          <w:color w:val="000000"/>
          <w:sz w:val="32"/>
          <w:szCs w:val="32"/>
          <w:u w:val="none"/>
          <w:lang w:bidi="ar"/>
        </w:rPr>
        <w:t>，违反了《药品管理法》第五十三条</w:t>
      </w:r>
      <w:r>
        <w:rPr>
          <w:rFonts w:hint="eastAsia" w:ascii="仿宋_GB2312" w:hAnsi="仿宋_GB2312" w:eastAsia="仿宋_GB2312" w:cs="仿宋_GB2312"/>
          <w:color w:val="000000"/>
          <w:sz w:val="32"/>
          <w:szCs w:val="32"/>
          <w:u w:val="none"/>
          <w:lang w:eastAsia="zh-CN" w:bidi="ar"/>
        </w:rPr>
        <w:t>第一款</w:t>
      </w:r>
      <w:r>
        <w:rPr>
          <w:rFonts w:hint="eastAsia" w:ascii="仿宋_GB2312" w:hAnsi="仿宋_GB2312" w:eastAsia="仿宋_GB2312" w:cs="仿宋_GB2312"/>
          <w:color w:val="000000"/>
          <w:sz w:val="32"/>
          <w:szCs w:val="32"/>
          <w:u w:val="none"/>
          <w:lang w:bidi="ar"/>
        </w:rPr>
        <w:t>和第五十七条</w:t>
      </w:r>
      <w:r>
        <w:rPr>
          <w:rFonts w:hint="eastAsia" w:ascii="仿宋_GB2312" w:hAnsi="仿宋_GB2312" w:eastAsia="仿宋_GB2312" w:cs="仿宋_GB2312"/>
          <w:color w:val="000000"/>
          <w:sz w:val="32"/>
          <w:szCs w:val="32"/>
          <w:u w:val="none"/>
          <w:shd w:val="clear" w:color="auto" w:fill="auto"/>
          <w:lang w:bidi="ar"/>
        </w:rPr>
        <w:t>规定。依据</w:t>
      </w:r>
      <w:r>
        <w:rPr>
          <w:rFonts w:hint="eastAsia" w:ascii="仿宋_GB2312" w:hAnsi="仿宋_GB2312" w:eastAsia="仿宋_GB2312" w:cs="仿宋_GB2312"/>
          <w:color w:val="000000"/>
          <w:sz w:val="32"/>
          <w:szCs w:val="32"/>
          <w:u w:val="none"/>
          <w:lang w:val="en-US" w:eastAsia="zh-CN"/>
        </w:rPr>
        <w:t>《药品管理法》</w:t>
      </w:r>
      <w:r>
        <w:rPr>
          <w:rFonts w:hint="eastAsia" w:ascii="仿宋_GB2312" w:hAnsi="仿宋_GB2312" w:eastAsia="仿宋_GB2312" w:cs="仿宋_GB2312"/>
          <w:color w:val="000000"/>
          <w:sz w:val="32"/>
          <w:szCs w:val="32"/>
          <w:u w:val="none"/>
          <w:shd w:val="clear" w:color="auto" w:fill="auto"/>
          <w:lang w:bidi="ar"/>
        </w:rPr>
        <w:t>第一百二十六条</w:t>
      </w:r>
      <w:r>
        <w:rPr>
          <w:rFonts w:hint="eastAsia" w:ascii="仿宋_GB2312" w:hAnsi="仿宋_GB2312" w:eastAsia="仿宋_GB2312" w:cs="仿宋_GB2312"/>
          <w:color w:val="000000"/>
          <w:sz w:val="32"/>
          <w:szCs w:val="32"/>
          <w:u w:val="none"/>
          <w:shd w:val="clear" w:color="auto" w:fill="auto"/>
          <w:lang w:eastAsia="zh-CN" w:bidi="ar"/>
        </w:rPr>
        <w:t>和</w:t>
      </w:r>
      <w:r>
        <w:rPr>
          <w:rFonts w:hint="eastAsia" w:ascii="仿宋_GB2312" w:hAnsi="仿宋_GB2312" w:eastAsia="仿宋_GB2312" w:cs="仿宋_GB2312"/>
          <w:b w:val="0"/>
          <w:bCs w:val="0"/>
          <w:color w:val="000000"/>
          <w:kern w:val="2"/>
          <w:sz w:val="32"/>
          <w:szCs w:val="32"/>
          <w:u w:val="none"/>
          <w:shd w:val="clear" w:color="auto" w:fill="auto"/>
          <w:lang w:val="en-US" w:eastAsia="zh-CN" w:bidi="ar"/>
        </w:rPr>
        <w:t>《药品经营和使用质量监督管理办法》第六十九条第（三）</w:t>
      </w:r>
      <w:r>
        <w:rPr>
          <w:rFonts w:hint="eastAsia" w:ascii="仿宋_GB2312" w:hAnsi="仿宋_GB2312" w:eastAsia="仿宋_GB2312" w:cs="仿宋_GB2312"/>
          <w:color w:val="000000"/>
          <w:sz w:val="32"/>
          <w:szCs w:val="32"/>
          <w:u w:val="none"/>
          <w:lang w:val="en-US" w:eastAsia="zh-CN"/>
        </w:rPr>
        <w:t>（五）</w:t>
      </w:r>
      <w:r>
        <w:rPr>
          <w:rFonts w:hint="eastAsia" w:ascii="仿宋_GB2312" w:hAnsi="仿宋_GB2312" w:eastAsia="仿宋_GB2312" w:cs="仿宋_GB2312"/>
          <w:b w:val="0"/>
          <w:bCs w:val="0"/>
          <w:color w:val="000000"/>
          <w:kern w:val="2"/>
          <w:sz w:val="32"/>
          <w:szCs w:val="32"/>
          <w:u w:val="none"/>
          <w:shd w:val="clear" w:color="auto" w:fill="auto"/>
          <w:lang w:val="en-US" w:eastAsia="zh-CN" w:bidi="ar"/>
        </w:rPr>
        <w:t>项</w:t>
      </w:r>
      <w:r>
        <w:rPr>
          <w:rFonts w:hint="eastAsia" w:ascii="仿宋_GB2312" w:hAnsi="仿宋_GB2312" w:eastAsia="仿宋_GB2312" w:cs="仿宋_GB2312"/>
          <w:color w:val="000000"/>
          <w:sz w:val="32"/>
          <w:szCs w:val="32"/>
          <w:u w:val="none"/>
          <w:shd w:val="clear" w:color="auto" w:fill="auto"/>
          <w:lang w:bidi="ar"/>
        </w:rPr>
        <w:t>，同时参考</w:t>
      </w:r>
      <w:r>
        <w:rPr>
          <w:rFonts w:hint="eastAsia" w:ascii="仿宋_GB2312" w:hAnsi="仿宋_GB2312" w:eastAsia="仿宋_GB2312" w:cs="仿宋_GB2312"/>
          <w:color w:val="000000"/>
          <w:sz w:val="32"/>
          <w:szCs w:val="32"/>
          <w:u w:val="none"/>
          <w:lang w:val="en-US" w:eastAsia="zh-CN"/>
        </w:rPr>
        <w:t>《药品管理法》</w:t>
      </w:r>
      <w:r>
        <w:rPr>
          <w:rFonts w:hint="eastAsia" w:ascii="仿宋_GB2312" w:hAnsi="仿宋_GB2312" w:eastAsia="仿宋_GB2312" w:cs="仿宋_GB2312"/>
          <w:color w:val="000000"/>
          <w:sz w:val="32"/>
          <w:szCs w:val="32"/>
          <w:u w:val="none"/>
          <w:lang w:val="en-US" w:eastAsia="zh-CN" w:bidi="ar"/>
        </w:rPr>
        <w:t>第一百三十七条第</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lang w:val="en-US" w:eastAsia="zh-CN" w:bidi="ar"/>
        </w:rPr>
        <w:t>六</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lang w:val="en-US" w:eastAsia="zh-CN" w:bidi="ar"/>
        </w:rPr>
        <w:t>项</w:t>
      </w:r>
      <w:r>
        <w:rPr>
          <w:rFonts w:hint="eastAsia" w:ascii="仿宋_GB2312" w:hAnsi="仿宋_GB2312" w:eastAsia="仿宋_GB2312" w:cs="仿宋_GB2312"/>
          <w:color w:val="000000"/>
          <w:sz w:val="32"/>
          <w:szCs w:val="32"/>
          <w:u w:val="none"/>
          <w:lang w:val="en-US" w:eastAsia="zh-CN"/>
        </w:rPr>
        <w:t>，以及</w:t>
      </w:r>
      <w:r>
        <w:rPr>
          <w:rFonts w:hint="eastAsia" w:ascii="仿宋_GB2312" w:hAnsi="仿宋_GB2312" w:eastAsia="仿宋_GB2312" w:cs="仿宋_GB2312"/>
          <w:color w:val="000000"/>
          <w:sz w:val="32"/>
          <w:szCs w:val="32"/>
          <w:u w:val="none"/>
          <w:shd w:val="clear" w:color="auto" w:fill="auto"/>
          <w:lang w:bidi="ar"/>
        </w:rPr>
        <w:t>《福建省药品监管行政处罚裁量适用细则》第三条、</w:t>
      </w:r>
      <w:r>
        <w:rPr>
          <w:rFonts w:hint="eastAsia" w:ascii="仿宋_GB2312" w:hAnsi="仿宋_GB2312" w:eastAsia="仿宋_GB2312" w:cs="仿宋_GB2312"/>
          <w:color w:val="000000"/>
          <w:kern w:val="2"/>
          <w:sz w:val="32"/>
          <w:szCs w:val="32"/>
          <w:u w:val="none"/>
          <w:lang w:bidi="ar"/>
        </w:rPr>
        <w:t>第十一条第一款第（七）（</w:t>
      </w:r>
      <w:r>
        <w:rPr>
          <w:rFonts w:hint="eastAsia" w:ascii="仿宋_GB2312" w:hAnsi="仿宋_GB2312" w:eastAsia="仿宋_GB2312" w:cs="仿宋_GB2312"/>
          <w:color w:val="000000"/>
          <w:sz w:val="32"/>
          <w:szCs w:val="32"/>
          <w:u w:val="none"/>
          <w:lang w:val="en-US" w:eastAsia="zh-CN"/>
        </w:rPr>
        <w:t>十</w:t>
      </w:r>
      <w:r>
        <w:rPr>
          <w:rFonts w:hint="eastAsia" w:ascii="仿宋_GB2312" w:hAnsi="仿宋_GB2312" w:eastAsia="仿宋_GB2312" w:cs="仿宋_GB2312"/>
          <w:color w:val="000000"/>
          <w:kern w:val="2"/>
          <w:sz w:val="32"/>
          <w:szCs w:val="32"/>
          <w:u w:val="none"/>
          <w:lang w:bidi="ar"/>
        </w:rPr>
        <w:t>）项</w:t>
      </w:r>
      <w:r>
        <w:rPr>
          <w:rFonts w:hint="eastAsia" w:ascii="仿宋_GB2312" w:hAnsi="仿宋_GB2312" w:eastAsia="仿宋_GB2312" w:cs="仿宋_GB2312"/>
          <w:color w:val="000000"/>
          <w:sz w:val="32"/>
          <w:szCs w:val="32"/>
          <w:u w:val="none"/>
          <w:shd w:val="clear" w:color="auto" w:fill="auto"/>
          <w:lang w:eastAsia="zh-CN" w:bidi="ar"/>
        </w:rPr>
        <w:t>、第十三条第一款第（八）项、</w:t>
      </w:r>
      <w:r>
        <w:rPr>
          <w:rFonts w:hint="eastAsia" w:ascii="仿宋_GB2312" w:hAnsi="仿宋_GB2312" w:eastAsia="仿宋_GB2312" w:cs="仿宋_GB2312"/>
          <w:color w:val="000000"/>
          <w:sz w:val="32"/>
          <w:szCs w:val="32"/>
          <w:u w:val="none"/>
          <w:lang w:val="en-US" w:eastAsia="zh-CN"/>
        </w:rPr>
        <w:t>第十五条、</w:t>
      </w:r>
      <w:r>
        <w:rPr>
          <w:rFonts w:hint="eastAsia" w:ascii="仿宋_GB2312" w:hAnsi="仿宋_GB2312" w:eastAsia="仿宋_GB2312" w:cs="仿宋_GB2312"/>
          <w:color w:val="000000"/>
          <w:sz w:val="32"/>
          <w:szCs w:val="32"/>
          <w:u w:val="none"/>
          <w:shd w:val="clear" w:color="auto" w:fill="auto"/>
          <w:lang w:eastAsia="zh-CN" w:bidi="ar"/>
        </w:rPr>
        <w:t>第二十六条第二项</w:t>
      </w:r>
      <w:r>
        <w:rPr>
          <w:rFonts w:hint="eastAsia" w:ascii="仿宋_GB2312" w:hAnsi="仿宋_GB2312" w:eastAsia="仿宋_GB2312" w:cs="仿宋_GB2312"/>
          <w:color w:val="000000"/>
          <w:sz w:val="32"/>
          <w:szCs w:val="32"/>
          <w:u w:val="none"/>
          <w:lang w:val="en-US" w:eastAsia="zh-CN"/>
        </w:rPr>
        <w:t>和《福建省药品行政处罚裁量基准（试行）》YP-24</w:t>
      </w:r>
      <w:r>
        <w:rPr>
          <w:rFonts w:hint="eastAsia" w:ascii="仿宋_GB2312" w:hAnsi="仿宋_GB2312" w:eastAsia="仿宋_GB2312" w:cs="仿宋_GB2312"/>
          <w:color w:val="000000"/>
          <w:sz w:val="32"/>
          <w:szCs w:val="32"/>
          <w:u w:val="none"/>
          <w:shd w:val="clear" w:color="auto" w:fill="auto"/>
          <w:lang w:bidi="ar"/>
        </w:rPr>
        <w:t>的规定</w:t>
      </w:r>
      <w:r>
        <w:rPr>
          <w:rFonts w:hint="eastAsia" w:ascii="仿宋_GB2312" w:hAnsi="仿宋_GB2312" w:eastAsia="仿宋_GB2312" w:cs="仿宋_GB2312"/>
          <w:color w:val="000000"/>
          <w:sz w:val="32"/>
          <w:szCs w:val="32"/>
          <w:u w:val="none"/>
          <w:lang w:val="en-US" w:eastAsia="zh-CN"/>
        </w:rPr>
        <w:t>。本局决定处罚如下：</w:t>
      </w:r>
    </w:p>
    <w:p>
      <w:pPr>
        <w:widowControl/>
        <w:shd w:val="clear" w:color="auto" w:fill="FFFFFF"/>
        <w:autoSpaceDE/>
        <w:adjustRightInd/>
        <w:snapToGrid/>
        <w:spacing w:beforeLines="0" w:beforeAutospacing="0" w:afterLines="0" w:afterAutospacing="0" w:line="620" w:lineRule="exact"/>
        <w:ind w:left="0" w:right="0" w:firstLine="640" w:firstLineChars="200"/>
        <w:jc w:val="both"/>
        <w:rPr>
          <w:rFonts w:hint="eastAsia" w:ascii="仿宋_GB2312" w:hAnsi="仿宋_GB2312" w:eastAsia="仿宋_GB2312" w:cs="仿宋_GB2312"/>
          <w:color w:val="000000"/>
          <w:sz w:val="32"/>
          <w:szCs w:val="32"/>
          <w:u w:val="none"/>
          <w:shd w:val="clear" w:color="auto" w:fill="FFFFFF"/>
          <w:lang w:bidi="ar"/>
        </w:rPr>
      </w:pPr>
      <w:r>
        <w:rPr>
          <w:rFonts w:hint="eastAsia" w:ascii="仿宋_GB2312" w:hAnsi="仿宋_GB2312" w:eastAsia="仿宋_GB2312" w:cs="仿宋_GB2312"/>
          <w:color w:val="000000"/>
          <w:sz w:val="32"/>
          <w:szCs w:val="32"/>
          <w:u w:val="none"/>
          <w:shd w:val="clear" w:color="auto" w:fill="FFFFFF"/>
          <w:lang w:val="en-US" w:eastAsia="zh-CN" w:bidi="ar"/>
        </w:rPr>
        <w:t>1.</w:t>
      </w:r>
      <w:r>
        <w:rPr>
          <w:rFonts w:hint="eastAsia" w:ascii="仿宋_GB2312" w:hAnsi="仿宋_GB2312" w:eastAsia="仿宋_GB2312" w:cs="仿宋_GB2312"/>
          <w:color w:val="000000"/>
          <w:sz w:val="32"/>
          <w:szCs w:val="32"/>
          <w:u w:val="none"/>
          <w:shd w:val="clear" w:color="auto" w:fill="FFFFFF"/>
          <w:lang w:bidi="ar"/>
        </w:rPr>
        <w:t>处罚款</w:t>
      </w:r>
      <w:r>
        <w:rPr>
          <w:rFonts w:hint="eastAsia" w:ascii="仿宋_GB2312" w:hAnsi="仿宋_GB2312" w:eastAsia="仿宋_GB2312" w:cs="仿宋_GB2312"/>
          <w:color w:val="000000"/>
          <w:sz w:val="32"/>
          <w:szCs w:val="32"/>
          <w:u w:val="none"/>
          <w:lang w:val="en-US" w:eastAsia="zh-CN"/>
        </w:rPr>
        <w:t>156</w:t>
      </w:r>
      <w:r>
        <w:rPr>
          <w:rFonts w:hint="eastAsia" w:ascii="仿宋_GB2312" w:hAnsi="仿宋_GB2312" w:eastAsia="仿宋_GB2312" w:cs="仿宋_GB2312"/>
          <w:color w:val="000000"/>
          <w:sz w:val="32"/>
          <w:szCs w:val="32"/>
          <w:u w:val="none"/>
          <w:shd w:val="clear" w:color="auto" w:fill="FFFFFF"/>
          <w:lang w:bidi="ar"/>
        </w:rPr>
        <w:t>0000元（</w:t>
      </w:r>
      <w:r>
        <w:rPr>
          <w:rFonts w:hint="eastAsia" w:ascii="仿宋_GB2312" w:hAnsi="仿宋_GB2312" w:eastAsia="仿宋_GB2312" w:cs="仿宋_GB2312"/>
          <w:color w:val="000000"/>
          <w:sz w:val="32"/>
          <w:szCs w:val="32"/>
          <w:u w:val="none"/>
          <w:lang w:val="en-US" w:eastAsia="zh-CN"/>
        </w:rPr>
        <w:t>壹佰伍</w:t>
      </w:r>
      <w:r>
        <w:rPr>
          <w:rFonts w:hint="eastAsia" w:ascii="仿宋_GB2312" w:hAnsi="仿宋_GB2312" w:eastAsia="仿宋_GB2312" w:cs="仿宋_GB2312"/>
          <w:color w:val="000000"/>
          <w:sz w:val="32"/>
          <w:szCs w:val="32"/>
          <w:u w:val="none"/>
          <w:shd w:val="clear" w:color="auto" w:fill="FFFFFF"/>
          <w:lang w:bidi="ar"/>
        </w:rPr>
        <w:t>拾</w:t>
      </w:r>
      <w:r>
        <w:rPr>
          <w:rFonts w:hint="eastAsia" w:ascii="仿宋_GB2312" w:hAnsi="仿宋_GB2312" w:eastAsia="仿宋_GB2312" w:cs="仿宋_GB2312"/>
          <w:color w:val="000000"/>
          <w:sz w:val="32"/>
          <w:szCs w:val="32"/>
          <w:u w:val="none"/>
          <w:lang w:val="en-US" w:eastAsia="zh-CN"/>
        </w:rPr>
        <w:t>陆</w:t>
      </w:r>
      <w:r>
        <w:rPr>
          <w:rFonts w:hint="eastAsia" w:ascii="仿宋_GB2312" w:hAnsi="仿宋_GB2312" w:eastAsia="仿宋_GB2312" w:cs="仿宋_GB2312"/>
          <w:color w:val="000000"/>
          <w:sz w:val="32"/>
          <w:szCs w:val="32"/>
          <w:u w:val="none"/>
          <w:shd w:val="clear" w:color="auto" w:fill="FFFFFF"/>
          <w:lang w:bidi="ar"/>
        </w:rPr>
        <w:t>万元整）。</w:t>
      </w:r>
    </w:p>
    <w:p>
      <w:pPr>
        <w:keepLines w:val="0"/>
        <w:pageBreakBefore w:val="0"/>
        <w:widowControl/>
        <w:numPr>
          <w:ilvl w:val="0"/>
          <w:numId w:val="1"/>
        </w:numPr>
        <w:shd w:val="clear" w:color="auto" w:fill="FFFFFF"/>
        <w:kinsoku/>
        <w:wordWrap/>
        <w:overflowPunct/>
        <w:topLinePunct w:val="0"/>
        <w:autoSpaceDE/>
        <w:autoSpaceDN/>
        <w:bidi w:val="0"/>
        <w:adjustRightInd/>
        <w:snapToGrid/>
        <w:spacing w:beforeLines="0" w:beforeAutospacing="0" w:afterLines="0" w:afterAutospacing="0" w:line="620" w:lineRule="exact"/>
        <w:ind w:left="0" w:right="0" w:firstLine="640" w:firstLineChars="200"/>
        <w:rPr>
          <w:rFonts w:hint="eastAsia" w:ascii="仿宋_GB2312" w:hAnsi="仿宋_GB2312" w:eastAsia="仿宋_GB2312" w:cs="仿宋_GB2312"/>
          <w:bCs w:val="0"/>
          <w:color w:val="000000"/>
          <w:sz w:val="32"/>
          <w:szCs w:val="32"/>
          <w:u w:val="none"/>
        </w:rPr>
      </w:pPr>
      <w:r>
        <w:rPr>
          <w:rFonts w:hint="eastAsia" w:ascii="仿宋_GB2312" w:hAnsi="仿宋_GB2312" w:eastAsia="仿宋_GB2312" w:cs="仿宋_GB2312"/>
          <w:bCs w:val="0"/>
          <w:color w:val="000000"/>
          <w:sz w:val="32"/>
          <w:szCs w:val="32"/>
          <w:u w:val="none"/>
          <w:lang w:eastAsia="zh-CN"/>
        </w:rPr>
        <w:t>责令停产停业整顿</w:t>
      </w:r>
      <w:r>
        <w:rPr>
          <w:rFonts w:hint="eastAsia" w:ascii="仿宋_GB2312" w:hAnsi="仿宋_GB2312" w:eastAsia="仿宋_GB2312" w:cs="仿宋_GB2312"/>
          <w:color w:val="000000"/>
          <w:sz w:val="32"/>
          <w:szCs w:val="32"/>
          <w:u w:val="none"/>
          <w:lang w:val="en-US" w:eastAsia="zh-CN"/>
        </w:rPr>
        <w:t>7</w:t>
      </w:r>
      <w:r>
        <w:rPr>
          <w:rFonts w:hint="eastAsia" w:ascii="仿宋_GB2312" w:hAnsi="仿宋_GB2312" w:eastAsia="仿宋_GB2312" w:cs="仿宋_GB2312"/>
          <w:bCs w:val="0"/>
          <w:color w:val="000000"/>
          <w:sz w:val="32"/>
          <w:szCs w:val="32"/>
          <w:u w:val="none"/>
          <w:lang w:val="en-US" w:eastAsia="zh-CN"/>
        </w:rPr>
        <w:t>天。</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依据《中华人民共和国行政处罚法》第六十七条第三款规定，当事人接到本行政处罚决定之日起15日内携福建省药品监督管理局福州药品稽查办公室开具的行政罚没缴款通知书，至各银行网点或者通过电子支付系统缴纳并将缴纳凭证送交福建省药品监督管理局福州药品稽查办公室。到期不缴纳罚款的，依据《中华人民共和国行政处罚法》第七十二条第一款第（一）项的规定，本局将每日按罚款数额的百分之三加处罚款，并依法申请人民法院强制执行。  </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如你（单位）不服本行政处罚决定，可以在收到本行政处罚决定书之日起六十日内向福建省人民政府申请行政复议；也可以在六个月内依法向福州市鼓楼区人民法院提起行政诉讼。申请行政复议或者提起行政诉讼期间，行政处罚不停止执行。</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　　　　　         </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3840" w:firstLineChars="1200"/>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kinsoku/>
        <w:wordWrap/>
        <w:overflowPunct/>
        <w:topLinePunct w:val="0"/>
        <w:autoSpaceDE/>
        <w:autoSpaceDN/>
        <w:bidi w:val="0"/>
        <w:adjustRightInd/>
        <w:snapToGrid/>
        <w:spacing w:line="620" w:lineRule="exact"/>
        <w:ind w:left="0" w:leftChars="0" w:right="0" w:rightChars="0" w:firstLine="3840" w:firstLineChars="1200"/>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kinsoku/>
        <w:wordWrap/>
        <w:overflowPunct/>
        <w:topLinePunct w:val="0"/>
        <w:autoSpaceDE/>
        <w:autoSpaceDN/>
        <w:bidi w:val="0"/>
        <w:adjustRightInd/>
        <w:snapToGrid/>
        <w:spacing w:line="620" w:lineRule="exact"/>
        <w:ind w:left="0" w:leftChars="0" w:right="0" w:rightChars="0" w:firstLine="3840" w:firstLineChars="1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福建省药品监督管理局</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                         （印 章）</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                      2026年8月14日</w:t>
      </w: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bookmarkStart w:id="0" w:name="_GoBack"/>
      <w:bookmarkEnd w:id="0"/>
    </w:p>
    <w:p>
      <w:pPr>
        <w:pStyle w:val="2"/>
        <w:keepNext w:val="0"/>
        <w:keepLines w:val="0"/>
        <w:pageBreakBefore w:val="0"/>
        <w:kinsoku/>
        <w:overflowPunct/>
        <w:topLinePunct w:val="0"/>
        <w:autoSpaceDE/>
        <w:autoSpaceDN/>
        <w:bidi w:val="0"/>
        <w:spacing w:line="620" w:lineRule="exact"/>
        <w:textAlignment w:val="auto"/>
        <w:rPr>
          <w:rFonts w:hint="eastAsia" w:ascii="仿宋_GB2312" w:hAnsi="仿宋_GB2312" w:eastAsia="仿宋_GB2312" w:cs="仿宋_GB2312"/>
          <w:color w:val="000000"/>
          <w:sz w:val="32"/>
          <w:szCs w:val="32"/>
        </w:rPr>
      </w:pPr>
    </w:p>
    <w:p>
      <w:pPr>
        <w:pStyle w:val="2"/>
        <w:keepNext w:val="0"/>
        <w:keepLines w:val="0"/>
        <w:pageBreakBefore w:val="0"/>
        <w:kinsoku/>
        <w:overflowPunct/>
        <w:topLinePunct w:val="0"/>
        <w:autoSpaceDE/>
        <w:autoSpaceDN/>
        <w:bidi w:val="0"/>
        <w:spacing w:line="620" w:lineRule="exact"/>
        <w:textAlignment w:val="auto"/>
        <w:rPr>
          <w:rFonts w:hint="eastAsia" w:ascii="仿宋_GB2312" w:hAnsi="仿宋_GB2312" w:eastAsia="仿宋_GB2312" w:cs="仿宋_GB2312"/>
          <w:color w:val="000000"/>
          <w:sz w:val="32"/>
          <w:szCs w:val="32"/>
        </w:rPr>
      </w:pPr>
    </w:p>
    <w:p>
      <w:pPr>
        <w:pStyle w:val="2"/>
        <w:keepNext w:val="0"/>
        <w:keepLines w:val="0"/>
        <w:pageBreakBefore w:val="0"/>
        <w:kinsoku/>
        <w:overflowPunct/>
        <w:topLinePunct w:val="0"/>
        <w:autoSpaceDE/>
        <w:autoSpaceDN/>
        <w:bidi w:val="0"/>
        <w:spacing w:line="620" w:lineRule="exact"/>
        <w:textAlignment w:val="auto"/>
        <w:rPr>
          <w:rFonts w:hint="eastAsia" w:ascii="仿宋_GB2312" w:hAnsi="仿宋_GB2312" w:eastAsia="仿宋_GB2312" w:cs="仿宋_GB2312"/>
          <w:color w:val="000000"/>
          <w:sz w:val="32"/>
          <w:szCs w:val="32"/>
        </w:rPr>
      </w:pPr>
    </w:p>
    <w:p>
      <w:pPr>
        <w:pStyle w:val="2"/>
        <w:keepNext w:val="0"/>
        <w:keepLines w:val="0"/>
        <w:pageBreakBefore w:val="0"/>
        <w:kinsoku/>
        <w:overflowPunct/>
        <w:topLinePunct w:val="0"/>
        <w:autoSpaceDE/>
        <w:autoSpaceDN/>
        <w:bidi w:val="0"/>
        <w:spacing w:line="620" w:lineRule="exact"/>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val="0"/>
        <w:overflowPunct/>
        <w:topLinePunct w:val="0"/>
        <w:autoSpaceDE/>
        <w:autoSpaceDN/>
        <w:bidi w:val="0"/>
        <w:adjustRightInd/>
        <w:snapToGrid w:val="0"/>
        <w:spacing w:line="620" w:lineRule="exact"/>
        <w:jc w:val="center"/>
        <w:textAlignment w:val="auto"/>
        <w:rPr>
          <w:rFonts w:ascii="黑体" w:hAnsi="黑体" w:eastAsia="黑体" w:cs="黑体"/>
          <w:color w:val="000000"/>
          <w:sz w:val="28"/>
          <w:szCs w:val="28"/>
        </w:rPr>
      </w:pPr>
      <w:r>
        <w:rPr>
          <w:rFonts w:hint="eastAsia" w:ascii="黑体" w:hAnsi="黑体" w:eastAsia="黑体" w:cs="黑体"/>
          <w:color w:val="000000"/>
          <w:sz w:val="30"/>
          <w:szCs w:val="30"/>
          <w:lang w:eastAsia="zh-CN"/>
        </w:rPr>
        <w:t>（我局</w:t>
      </w:r>
      <w:r>
        <w:rPr>
          <w:rFonts w:hint="eastAsia" w:ascii="黑体" w:hAnsi="黑体" w:eastAsia="黑体" w:cs="黑体"/>
          <w:color w:val="000000"/>
          <w:sz w:val="30"/>
          <w:szCs w:val="30"/>
        </w:rPr>
        <w:t>将依法向社会公示本行政处罚决定信息）</w:t>
      </w:r>
    </w:p>
    <w:p>
      <w:pPr>
        <w:keepNext w:val="0"/>
        <w:keepLines w:val="0"/>
        <w:pageBreakBefore w:val="0"/>
        <w:widowControl w:val="0"/>
        <w:kinsoku/>
        <w:wordWrap w:val="0"/>
        <w:overflowPunct/>
        <w:topLinePunct w:val="0"/>
        <w:autoSpaceDE/>
        <w:autoSpaceDN/>
        <w:bidi w:val="0"/>
        <w:adjustRightInd/>
        <w:snapToGrid/>
        <w:spacing w:line="620" w:lineRule="exact"/>
        <w:ind w:left="0" w:leftChars="0"/>
        <w:textAlignment w:val="auto"/>
        <w:rPr>
          <w:rFonts w:hint="eastAsia" w:ascii="Times New Roman" w:hAnsi="Times New Roman" w:eastAsia="仿宋_GB2312" w:cs="仿宋"/>
          <w:color w:val="000000"/>
          <w:sz w:val="32"/>
          <w:szCs w:val="32"/>
        </w:rPr>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posOffset>-139065</wp:posOffset>
                </wp:positionH>
                <wp:positionV relativeFrom="paragraph">
                  <wp:posOffset>116840</wp:posOffset>
                </wp:positionV>
                <wp:extent cx="5550535"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0.95pt;margin-top:9.2pt;height:0.05pt;width:437.05pt;z-index:251661312;mso-width-relative:page;mso-height-relative:page;" filled="f" stroked="t" coordsize="21600,21600" o:gfxdata="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NlYbnYAAAACQEAAA8AAAAAAAAAAQAgAAAAOAAA&#10;AGRycy9kb3ducmV2LnhtbFBLAQIUABQAAAAIAIdO4kBXXdbg8gEAAOsDAAAOAAAAAAAAAAEAIAAA&#10;AD0BAABkcnMvZTJvRG9jLnhtbFBLBQYAAAAABgAGAFkBAAChBQ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vv85HXAAAACgEAAA8AAAAAAAAAAQAgAAAA&#10;OAAAAGRycy9kb3ducmV2LnhtbFBLAQIUABQAAAAIAIdO4kDIIdYO9gEAAOkDAAAOAAAAAAAAAAEA&#10;IAAAADwBAABkcnMvZTJvRG9jLnhtbFBLBQYAAAAABgAGAFkBAACk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eastAsia="zh-CN"/>
        </w:rPr>
        <w:t>三</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lang w:eastAsia="zh-CN"/>
        </w:rPr>
        <w:t>一</w:t>
      </w:r>
      <w:r>
        <w:rPr>
          <w:rFonts w:hint="eastAsia" w:ascii="Times New Roman" w:hAnsi="Times New Roman" w:eastAsia="仿宋_GB2312" w:cs="仿宋"/>
          <w:color w:val="000000"/>
          <w:sz w:val="32"/>
          <w:szCs w:val="32"/>
        </w:rPr>
        <w:t>份送达，</w:t>
      </w:r>
      <w:r>
        <w:rPr>
          <w:rFonts w:hint="eastAsia" w:ascii="Times New Roman" w:hAnsi="Times New Roman" w:eastAsia="仿宋_GB2312" w:cs="仿宋"/>
          <w:color w:val="000000"/>
          <w:sz w:val="32"/>
          <w:szCs w:val="32"/>
          <w:u w:val="single"/>
        </w:rPr>
        <w:t>一</w:t>
      </w:r>
      <w:r>
        <w:rPr>
          <w:rFonts w:hint="eastAsia" w:ascii="Times New Roman" w:hAnsi="Times New Roman" w:eastAsia="仿宋_GB2312" w:cs="仿宋"/>
          <w:color w:val="000000"/>
          <w:sz w:val="32"/>
          <w:szCs w:val="32"/>
        </w:rPr>
        <w:t>份归档，</w:t>
      </w:r>
      <w:r>
        <w:rPr>
          <w:rFonts w:hint="eastAsia" w:ascii="Times New Roman" w:hAnsi="Times New Roman" w:eastAsia="仿宋_GB2312" w:cs="仿宋"/>
          <w:color w:val="000000"/>
          <w:sz w:val="32"/>
          <w:szCs w:val="32"/>
          <w:u w:val="none"/>
        </w:rPr>
        <w:t xml:space="preserve"> </w:t>
      </w:r>
      <w:r>
        <w:rPr>
          <w:rFonts w:hint="eastAsia" w:ascii="Times New Roman" w:hAnsi="Times New Roman" w:eastAsia="仿宋_GB2312" w:cs="仿宋"/>
          <w:color w:val="000000"/>
          <w:sz w:val="32"/>
          <w:szCs w:val="32"/>
          <w:u w:val="single"/>
          <w:lang w:eastAsia="zh-CN"/>
        </w:rPr>
        <w:t>一</w:t>
      </w:r>
      <w:r>
        <w:rPr>
          <w:rFonts w:hint="eastAsia" w:ascii="Times New Roman" w:hAnsi="Times New Roman" w:eastAsia="仿宋_GB2312" w:cs="仿宋"/>
          <w:color w:val="000000"/>
          <w:sz w:val="32"/>
          <w:szCs w:val="32"/>
          <w:u w:val="none"/>
          <w:lang w:eastAsia="zh-CN"/>
        </w:rPr>
        <w:t>份留底</w:t>
      </w:r>
      <w:r>
        <w:rPr>
          <w:rFonts w:hint="eastAsia" w:ascii="Times New Roman" w:hAnsi="Times New Roman" w:eastAsia="仿宋_GB2312" w:cs="仿宋"/>
          <w:color w:val="000000"/>
          <w:sz w:val="32"/>
          <w:szCs w:val="32"/>
        </w:rPr>
        <w:t>。</w:t>
      </w:r>
    </w:p>
    <w:p>
      <w:pPr>
        <w:keepNext w:val="0"/>
        <w:keepLines w:val="0"/>
        <w:pageBreakBefore w:val="0"/>
        <w:kinsoku/>
        <w:overflowPunct/>
        <w:topLinePunct w:val="0"/>
        <w:autoSpaceDE/>
        <w:autoSpaceDN/>
        <w:bidi w:val="0"/>
        <w:spacing w:line="620" w:lineRule="exact"/>
        <w:textAlignment w:val="auto"/>
      </w:pPr>
      <w:r>
        <w:br w:type="page"/>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lang w:eastAsia="zh-CN"/>
        </w:rPr>
        <w:t>福建省药品</w:t>
      </w:r>
      <w:r>
        <w:rPr>
          <w:rFonts w:hint="eastAsia" w:ascii="Times New Roman" w:hAnsi="Times New Roman" w:eastAsia="方正小标宋简体" w:cs="方正小标宋简体"/>
          <w:bCs/>
          <w:color w:val="000000"/>
          <w:sz w:val="44"/>
          <w:szCs w:val="44"/>
        </w:rPr>
        <w:t>监督管理局</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rPr>
        <w:t>行政处罚决定书</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闽药</w:t>
      </w:r>
      <w:r>
        <w:rPr>
          <w:rFonts w:hint="eastAsia" w:ascii="楷体_GB2312" w:hAnsi="楷体_GB2312" w:eastAsia="楷体_GB2312" w:cs="楷体_GB2312"/>
          <w:color w:val="000000"/>
          <w:sz w:val="32"/>
          <w:szCs w:val="32"/>
        </w:rPr>
        <w:t>监</w:t>
      </w:r>
      <w:r>
        <w:rPr>
          <w:rFonts w:hint="eastAsia" w:ascii="楷体_GB2312" w:hAnsi="楷体_GB2312" w:eastAsia="楷体_GB2312" w:cs="楷体_GB2312"/>
          <w:color w:val="000000"/>
          <w:sz w:val="32"/>
          <w:szCs w:val="32"/>
          <w:u w:val="none"/>
          <w:lang w:eastAsia="zh-CN"/>
        </w:rPr>
        <w:t>榕稽办处罚</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2026</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11-1</w:t>
      </w:r>
      <w:r>
        <w:rPr>
          <w:rFonts w:hint="eastAsia" w:ascii="楷体_GB2312" w:hAnsi="楷体_GB2312" w:eastAsia="楷体_GB2312" w:cs="楷体_GB2312"/>
          <w:color w:val="000000"/>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楷体_GB2312" w:hAnsi="楷体_GB2312" w:eastAsia="楷体_GB2312" w:cs="楷体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当事人：</w:t>
      </w:r>
      <w:r>
        <w:rPr>
          <w:rFonts w:hint="eastAsia" w:ascii="仿宋_GB2312" w:hAnsi="仿宋_GB2312" w:eastAsia="仿宋_GB2312" w:cs="仿宋_GB2312"/>
          <w:color w:val="auto"/>
          <w:kern w:val="2"/>
          <w:sz w:val="32"/>
          <w:szCs w:val="32"/>
          <w:u w:val="none"/>
          <w:lang w:val="en-US" w:eastAsia="zh-CN" w:bidi="ar-SA"/>
        </w:rPr>
        <w:t>张*</w:t>
      </w:r>
    </w:p>
    <w:p>
      <w:pPr>
        <w:keepNext w:val="0"/>
        <w:keepLines w:val="0"/>
        <w:pageBreakBefore w:val="0"/>
        <w:kinsoku/>
        <w:wordWrap/>
        <w:overflowPunct/>
        <w:topLinePunct w:val="0"/>
        <w:autoSpaceDE/>
        <w:autoSpaceDN/>
        <w:bidi w:val="0"/>
        <w:adjustRightInd/>
        <w:snapToGrid/>
        <w:spacing w:line="62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身份证（其他有效证件）号码：</w:t>
      </w:r>
      <w:r>
        <w:rPr>
          <w:rFonts w:hint="eastAsia" w:ascii="仿宋_GB2312" w:hAnsi="仿宋_GB2312" w:eastAsia="仿宋_GB2312" w:cs="仿宋_GB2312"/>
          <w:color w:val="auto"/>
          <w:kern w:val="2"/>
          <w:sz w:val="32"/>
          <w:szCs w:val="32"/>
          <w:u w:val="none"/>
          <w:lang w:val="en-US" w:eastAsia="zh-CN" w:bidi="ar-SA"/>
        </w:rPr>
        <w:t>***</w:t>
      </w:r>
    </w:p>
    <w:p>
      <w:pPr>
        <w:keepNext w:val="0"/>
        <w:keepLines w:val="0"/>
        <w:pageBreakBefore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联系电话：***</w:t>
      </w:r>
    </w:p>
    <w:p>
      <w:pPr>
        <w:keepNext w:val="0"/>
        <w:keepLines w:val="0"/>
        <w:pageBreakBefore w:val="0"/>
        <w:kinsoku/>
        <w:wordWrap/>
        <w:overflowPunct/>
        <w:topLinePunct w:val="0"/>
        <w:autoSpaceDE/>
        <w:autoSpaceDN/>
        <w:bidi w:val="0"/>
        <w:adjustRightInd/>
        <w:snapToGrid/>
        <w:spacing w:line="62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联系地址：</w:t>
      </w:r>
      <w:r>
        <w:rPr>
          <w:rFonts w:hint="eastAsia" w:ascii="仿宋_GB2312" w:hAnsi="仿宋_GB2312" w:eastAsia="仿宋_GB2312" w:cs="仿宋_GB2312"/>
          <w:color w:val="auto"/>
          <w:kern w:val="2"/>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620" w:lineRule="exact"/>
        <w:ind w:left="2080" w:right="0" w:rightChars="0" w:hanging="1937" w:hangingChars="650"/>
        <w:jc w:val="left"/>
        <w:textAlignment w:val="auto"/>
        <w:rPr>
          <w:rFonts w:hint="eastAsia" w:ascii="仿宋_GB2312" w:hAnsi="仿宋_GB2312" w:eastAsia="仿宋_GB2312" w:cs="仿宋_GB2312"/>
          <w:color w:val="000000"/>
          <w:spacing w:val="-11"/>
          <w:sz w:val="32"/>
          <w:szCs w:val="32"/>
          <w:lang w:val="en-US" w:eastAsia="zh-CN"/>
        </w:rPr>
      </w:pP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根据举报线索。</w:t>
      </w:r>
      <w:r>
        <w:rPr>
          <w:rFonts w:hint="default" w:ascii="仿宋_GB2312" w:hAnsi="仿宋_GB2312" w:eastAsia="仿宋_GB2312" w:cs="仿宋_GB2312"/>
          <w:color w:val="000000"/>
          <w:sz w:val="32"/>
          <w:szCs w:val="32"/>
          <w:u w:val="none"/>
          <w:lang w:val="en-US" w:eastAsia="zh-CN"/>
        </w:rPr>
        <w:t>经查，</w:t>
      </w:r>
      <w:r>
        <w:rPr>
          <w:rFonts w:hint="eastAsia" w:ascii="仿宋_GB2312" w:hAnsi="仿宋_GB2312" w:eastAsia="仿宋_GB2312" w:cs="仿宋_GB2312"/>
          <w:color w:val="000000"/>
          <w:sz w:val="32"/>
          <w:szCs w:val="32"/>
          <w:u w:val="none"/>
          <w:lang w:val="en-US" w:eastAsia="zh-CN"/>
        </w:rPr>
        <w:t>你公司从事药品经营活动未遵守药品经营质量管理规范。</w:t>
      </w:r>
      <w:r>
        <w:rPr>
          <w:rFonts w:hint="default" w:ascii="仿宋_GB2312" w:hAnsi="仿宋_GB2312" w:eastAsia="仿宋_GB2312" w:cs="仿宋_GB2312"/>
          <w:color w:val="000000"/>
          <w:sz w:val="32"/>
          <w:szCs w:val="32"/>
          <w:u w:val="none"/>
          <w:lang w:val="en-US" w:eastAsia="zh-CN"/>
        </w:rPr>
        <w:t>违法行为发生期间，</w:t>
      </w:r>
      <w:r>
        <w:rPr>
          <w:rFonts w:hint="eastAsia" w:ascii="仿宋_GB2312" w:hAnsi="仿宋_GB2312" w:eastAsia="仿宋_GB2312" w:cs="仿宋_GB2312"/>
          <w:color w:val="000000"/>
          <w:sz w:val="32"/>
          <w:szCs w:val="32"/>
          <w:u w:val="none"/>
        </w:rPr>
        <w:t>张</w:t>
      </w:r>
      <w:r>
        <w:rPr>
          <w:rFonts w:hint="eastAsia" w:ascii="仿宋_GB2312" w:hAnsi="仿宋_GB2312" w:eastAsia="仿宋_GB2312" w:cs="仿宋_GB2312"/>
          <w:color w:val="000000"/>
          <w:sz w:val="32"/>
          <w:szCs w:val="32"/>
          <w:u w:val="none"/>
          <w:lang w:val="en-US" w:eastAsia="zh-CN"/>
        </w:rPr>
        <w:t>*</w:t>
      </w:r>
      <w:r>
        <w:rPr>
          <w:rFonts w:hint="default" w:ascii="仿宋_GB2312" w:hAnsi="仿宋_GB2312" w:eastAsia="仿宋_GB2312" w:cs="仿宋_GB2312"/>
          <w:color w:val="000000"/>
          <w:sz w:val="32"/>
          <w:szCs w:val="32"/>
          <w:u w:val="none"/>
          <w:lang w:val="en-US" w:eastAsia="zh-CN"/>
        </w:rPr>
        <w:t>为</w:t>
      </w:r>
      <w:r>
        <w:rPr>
          <w:rFonts w:hint="eastAsia" w:ascii="仿宋_GB2312" w:hAnsi="仿宋_GB2312" w:eastAsia="仿宋_GB2312" w:cs="仿宋_GB2312"/>
          <w:color w:val="000000"/>
          <w:sz w:val="32"/>
          <w:szCs w:val="32"/>
          <w:u w:val="none"/>
          <w:lang w:val="en-US" w:eastAsia="zh-CN"/>
        </w:rPr>
        <w:t>当事人</w:t>
      </w:r>
      <w:r>
        <w:rPr>
          <w:rFonts w:hint="default" w:ascii="仿宋_GB2312" w:hAnsi="仿宋_GB2312" w:eastAsia="仿宋_GB2312" w:cs="仿宋_GB2312"/>
          <w:color w:val="000000"/>
          <w:sz w:val="32"/>
          <w:szCs w:val="32"/>
          <w:u w:val="none"/>
          <w:lang w:val="en-US" w:eastAsia="zh-CN"/>
        </w:rPr>
        <w:t>的法定代表人</w:t>
      </w:r>
      <w:r>
        <w:rPr>
          <w:rFonts w:hint="eastAsia" w:ascii="仿宋_GB2312" w:hAnsi="仿宋_GB2312" w:eastAsia="仿宋_GB2312" w:cs="仿宋_GB2312"/>
          <w:color w:val="000000"/>
          <w:sz w:val="32"/>
          <w:szCs w:val="32"/>
          <w:u w:val="none"/>
          <w:lang w:val="en-US" w:eastAsia="zh-CN"/>
        </w:rPr>
        <w:t>、股东，</w:t>
      </w:r>
      <w:r>
        <w:rPr>
          <w:rFonts w:hint="default" w:ascii="仿宋_GB2312" w:hAnsi="仿宋_GB2312" w:eastAsia="仿宋_GB2312" w:cs="仿宋_GB2312"/>
          <w:color w:val="000000"/>
          <w:sz w:val="32"/>
          <w:szCs w:val="32"/>
          <w:u w:val="none"/>
          <w:lang w:val="en-US" w:eastAsia="zh-CN"/>
        </w:rPr>
        <w:t>兼负责</w:t>
      </w:r>
      <w:r>
        <w:rPr>
          <w:rFonts w:hint="eastAsia" w:ascii="仿宋_GB2312" w:hAnsi="仿宋_GB2312" w:eastAsia="仿宋_GB2312" w:cs="仿宋_GB2312"/>
          <w:color w:val="000000"/>
          <w:sz w:val="32"/>
          <w:szCs w:val="32"/>
          <w:u w:val="none"/>
          <w:lang w:val="en-US" w:eastAsia="zh-CN"/>
        </w:rPr>
        <w:t>企业</w:t>
      </w:r>
      <w:r>
        <w:rPr>
          <w:rFonts w:hint="default" w:ascii="仿宋_GB2312" w:hAnsi="仿宋_GB2312" w:eastAsia="仿宋_GB2312" w:cs="仿宋_GB2312"/>
          <w:color w:val="000000"/>
          <w:sz w:val="32"/>
          <w:szCs w:val="32"/>
          <w:u w:val="none"/>
          <w:lang w:val="en-US" w:eastAsia="zh-CN"/>
        </w:rPr>
        <w:t>的销售工作，为直接责任人。</w:t>
      </w:r>
    </w:p>
    <w:p>
      <w:pPr>
        <w:keepNext w:val="0"/>
        <w:keepLines w:val="0"/>
        <w:pageBreakBefore w:val="0"/>
        <w:kinsoku/>
        <w:wordWrap/>
        <w:overflowPunct/>
        <w:topLinePunct w:val="0"/>
        <w:autoSpaceDE/>
        <w:autoSpaceDN/>
        <w:bidi w:val="0"/>
        <w:adjustRightInd/>
        <w:snapToGrid/>
        <w:spacing w:line="620" w:lineRule="exact"/>
        <w:ind w:left="0" w:leftChars="0" w:right="0" w:rightChars="0" w:firstLine="640" w:firstLineChars="200"/>
        <w:textAlignment w:val="auto"/>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本局认为，你公司</w:t>
      </w:r>
      <w:r>
        <w:rPr>
          <w:rFonts w:hint="default" w:ascii="仿宋_GB2312" w:hAnsi="仿宋_GB2312" w:eastAsia="仿宋_GB2312" w:cs="仿宋_GB2312"/>
          <w:color w:val="000000"/>
          <w:sz w:val="32"/>
          <w:szCs w:val="32"/>
          <w:u w:val="none"/>
          <w:lang w:val="en-US" w:eastAsia="zh-CN"/>
        </w:rPr>
        <w:t>违反了《中华人民共和国药品管理法》</w:t>
      </w:r>
      <w:r>
        <w:rPr>
          <w:rFonts w:hint="eastAsia" w:ascii="仿宋_GB2312" w:hAnsi="仿宋_GB2312" w:eastAsia="仿宋_GB2312" w:cs="仿宋_GB2312"/>
          <w:color w:val="000000"/>
          <w:sz w:val="32"/>
          <w:szCs w:val="32"/>
          <w:u w:val="none"/>
          <w:lang w:val="en-US" w:eastAsia="zh-CN"/>
        </w:rPr>
        <w:t>（以下简称“药品管理法”）</w:t>
      </w:r>
      <w:r>
        <w:rPr>
          <w:rFonts w:hint="default" w:ascii="仿宋_GB2312" w:hAnsi="仿宋_GB2312" w:eastAsia="仿宋_GB2312" w:cs="仿宋_GB2312"/>
          <w:color w:val="000000"/>
          <w:sz w:val="32"/>
          <w:szCs w:val="32"/>
          <w:u w:val="none"/>
          <w:lang w:val="en-US" w:eastAsia="zh-CN"/>
        </w:rPr>
        <w:t>第五十三条第一款、第五十七条的规定，</w:t>
      </w:r>
      <w:r>
        <w:rPr>
          <w:rFonts w:hint="eastAsia" w:ascii="仿宋_GB2312" w:hAnsi="仿宋_GB2312" w:eastAsia="仿宋_GB2312" w:cs="仿宋_GB2312"/>
          <w:color w:val="000000"/>
          <w:sz w:val="32"/>
          <w:szCs w:val="32"/>
          <w:u w:val="none"/>
          <w:lang w:val="en-US" w:eastAsia="zh-CN"/>
        </w:rPr>
        <w:t>且</w:t>
      </w:r>
      <w:r>
        <w:rPr>
          <w:rFonts w:hint="default" w:ascii="仿宋_GB2312" w:hAnsi="仿宋_GB2312" w:eastAsia="仿宋_GB2312" w:cs="仿宋_GB2312"/>
          <w:color w:val="000000"/>
          <w:sz w:val="32"/>
          <w:szCs w:val="32"/>
          <w:u w:val="none"/>
          <w:lang w:val="en-US" w:eastAsia="zh-CN"/>
        </w:rPr>
        <w:t>符合《药品经营和使用质量监督管理办法》第六十九条第（三）（五）项规定，构成未遵守药品经营质量管理规范经营药品的行为，且情节严重。</w:t>
      </w:r>
    </w:p>
    <w:p>
      <w:pPr>
        <w:pStyle w:val="3"/>
        <w:keepNext w:val="0"/>
        <w:keepLines w:val="0"/>
        <w:pageBreakBefore w:val="0"/>
        <w:widowControl w:val="0"/>
        <w:tabs>
          <w:tab w:val="left" w:pos="8964"/>
        </w:tabs>
        <w:kinsoku/>
        <w:wordWrap/>
        <w:overflowPunct/>
        <w:topLinePunct w:val="0"/>
        <w:autoSpaceDE/>
        <w:autoSpaceDN/>
        <w:bidi w:val="0"/>
        <w:adjustRightInd w:val="0"/>
        <w:snapToGrid w:val="0"/>
        <w:spacing w:line="620" w:lineRule="exact"/>
        <w:ind w:left="0" w:right="0" w:rightChars="0"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bidi="ar-SA"/>
        </w:rPr>
      </w:pPr>
      <w:r>
        <w:rPr>
          <w:rFonts w:hint="eastAsia" w:ascii="仿宋_GB2312" w:hAnsi="仿宋_GB2312" w:eastAsia="仿宋_GB2312" w:cs="仿宋_GB2312"/>
          <w:color w:val="000000"/>
          <w:sz w:val="32"/>
          <w:szCs w:val="32"/>
          <w:u w:val="none"/>
          <w:lang w:val="en-US" w:eastAsia="zh-CN"/>
        </w:rPr>
        <w:t>2026年8月3日，本局</w:t>
      </w:r>
      <w:r>
        <w:rPr>
          <w:rFonts w:hint="eastAsia" w:ascii="仿宋_GB2312" w:hAnsi="仿宋_GB2312" w:eastAsia="仿宋_GB2312" w:cs="仿宋_GB2312"/>
          <w:sz w:val="32"/>
          <w:szCs w:val="32"/>
          <w:u w:val="none"/>
          <w:lang w:val="en-US" w:eastAsia="zh-CN"/>
        </w:rPr>
        <w:t>将行政处罚告知书依法送达当事人，并告知当事人具有陈述申辩、</w:t>
      </w:r>
      <w:r>
        <w:rPr>
          <w:rFonts w:hint="eastAsia" w:ascii="仿宋_GB2312" w:hAnsi="仿宋_GB2312" w:eastAsia="仿宋_GB2312" w:cs="仿宋_GB2312"/>
          <w:spacing w:val="-10"/>
          <w:sz w:val="32"/>
          <w:szCs w:val="32"/>
        </w:rPr>
        <w:t>要求听证</w:t>
      </w:r>
      <w:r>
        <w:rPr>
          <w:rFonts w:hint="eastAsia" w:ascii="仿宋_GB2312" w:hAnsi="仿宋_GB2312" w:eastAsia="仿宋_GB2312" w:cs="仿宋_GB2312"/>
          <w:sz w:val="32"/>
          <w:szCs w:val="32"/>
          <w:u w:val="none"/>
          <w:lang w:val="en-US" w:eastAsia="zh-CN"/>
        </w:rPr>
        <w:t>的权利。</w:t>
      </w:r>
      <w:r>
        <w:rPr>
          <w:rFonts w:hint="default" w:ascii="Times New Roman" w:hAnsi="Times New Roman" w:eastAsia="仿宋_GB2312" w:cs="Times New Roman"/>
          <w:b w:val="0"/>
          <w:bCs w:val="0"/>
          <w:color w:val="auto"/>
          <w:sz w:val="32"/>
          <w:szCs w:val="32"/>
          <w:highlight w:val="none"/>
          <w:u w:val="none"/>
          <w:lang w:val="en-US" w:eastAsia="zh-CN" w:bidi="ar-SA"/>
        </w:rPr>
        <w:t>当事人在规定期限内未向本局提出陈述、申辩及听证。</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_GB2312" w:hAnsi="仿宋_GB2312" w:eastAsia="仿宋_GB2312" w:cs="仿宋_GB2312"/>
          <w:strike w:val="0"/>
          <w:dstrike w:val="0"/>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本局认为，</w:t>
      </w:r>
      <w:r>
        <w:rPr>
          <w:rFonts w:hint="eastAsia" w:ascii="仿宋_GB2312" w:hAnsi="仿宋_GB2312" w:eastAsia="仿宋_GB2312" w:cs="仿宋_GB2312"/>
          <w:color w:val="auto"/>
          <w:spacing w:val="-10"/>
          <w:sz w:val="32"/>
          <w:szCs w:val="32"/>
          <w:lang w:val="en-US" w:eastAsia="zh-CN"/>
        </w:rPr>
        <w:t>你公司</w:t>
      </w:r>
      <w:r>
        <w:rPr>
          <w:rFonts w:hint="eastAsia" w:ascii="仿宋_GB2312" w:hAnsi="仿宋_GB2312" w:eastAsia="仿宋_GB2312" w:cs="仿宋_GB2312"/>
          <w:color w:val="auto"/>
          <w:spacing w:val="-10"/>
          <w:sz w:val="32"/>
          <w:szCs w:val="32"/>
        </w:rPr>
        <w:t>虚构药品流向</w:t>
      </w:r>
      <w:r>
        <w:rPr>
          <w:rFonts w:hint="eastAsia" w:ascii="仿宋_GB2312" w:hAnsi="仿宋_GB2312" w:eastAsia="仿宋_GB2312" w:cs="仿宋_GB2312"/>
          <w:color w:val="auto"/>
          <w:spacing w:val="-10"/>
          <w:sz w:val="32"/>
          <w:szCs w:val="32"/>
          <w:lang w:val="en-US" w:eastAsia="zh-CN"/>
        </w:rPr>
        <w:t>和将药品销售给宠物医院及无证诊所的行为</w:t>
      </w:r>
      <w:r>
        <w:rPr>
          <w:rFonts w:hint="eastAsia" w:ascii="仿宋_GB2312" w:hAnsi="仿宋_GB2312" w:eastAsia="仿宋_GB2312" w:cs="仿宋_GB2312"/>
          <w:color w:val="auto"/>
          <w:spacing w:val="-10"/>
          <w:sz w:val="32"/>
          <w:szCs w:val="32"/>
        </w:rPr>
        <w:t>，违反了《药品管理法》第五十三条</w:t>
      </w:r>
      <w:r>
        <w:rPr>
          <w:rFonts w:hint="eastAsia" w:ascii="仿宋_GB2312" w:hAnsi="仿宋_GB2312" w:eastAsia="仿宋_GB2312" w:cs="仿宋_GB2312"/>
          <w:color w:val="auto"/>
          <w:spacing w:val="-10"/>
          <w:sz w:val="32"/>
          <w:szCs w:val="32"/>
          <w:lang w:eastAsia="zh-CN"/>
        </w:rPr>
        <w:t>第一款</w:t>
      </w:r>
      <w:r>
        <w:rPr>
          <w:rFonts w:hint="eastAsia" w:ascii="仿宋_GB2312" w:hAnsi="仿宋_GB2312" w:eastAsia="仿宋_GB2312" w:cs="仿宋_GB2312"/>
          <w:color w:val="auto"/>
          <w:spacing w:val="-10"/>
          <w:sz w:val="32"/>
          <w:szCs w:val="32"/>
        </w:rPr>
        <w:t>和第五十七条</w:t>
      </w:r>
      <w:r>
        <w:rPr>
          <w:rFonts w:hint="eastAsia" w:ascii="仿宋_GB2312" w:hAnsi="仿宋_GB2312" w:eastAsia="仿宋_GB2312" w:cs="仿宋_GB2312"/>
          <w:color w:val="auto"/>
          <w:spacing w:val="-10"/>
          <w:sz w:val="32"/>
          <w:szCs w:val="32"/>
          <w:shd w:val="clear" w:color="auto" w:fill="auto"/>
        </w:rPr>
        <w:t>规定。</w:t>
      </w:r>
      <w:r>
        <w:rPr>
          <w:rFonts w:hint="eastAsia" w:ascii="仿宋_GB2312" w:hAnsi="仿宋_GB2312" w:eastAsia="仿宋_GB2312" w:cs="仿宋_GB2312"/>
          <w:color w:val="000000"/>
          <w:sz w:val="32"/>
          <w:szCs w:val="32"/>
          <w:lang w:val="en-US" w:eastAsia="zh-CN"/>
        </w:rPr>
        <w:t>作为公司法定代表人的你，上述违法行为由你</w:t>
      </w:r>
      <w:r>
        <w:rPr>
          <w:rFonts w:hint="eastAsia" w:ascii="仿宋_GB2312" w:hAnsi="仿宋_GB2312" w:eastAsia="仿宋_GB2312" w:cs="仿宋_GB2312"/>
          <w:b w:val="0"/>
          <w:bCs w:val="0"/>
          <w:color w:val="auto"/>
          <w:spacing w:val="0"/>
          <w:kern w:val="0"/>
          <w:sz w:val="32"/>
          <w:szCs w:val="32"/>
          <w:u w:val="none"/>
          <w:lang w:val="en-US" w:eastAsia="zh-CN" w:bidi="ar"/>
        </w:rPr>
        <w:t>决策和具体实施，</w:t>
      </w:r>
      <w:r>
        <w:rPr>
          <w:rFonts w:hint="eastAsia" w:ascii="仿宋_GB2312" w:hAnsi="仿宋_GB2312" w:eastAsia="仿宋_GB2312" w:cs="仿宋_GB2312"/>
          <w:color w:val="auto"/>
          <w:spacing w:val="-10"/>
          <w:sz w:val="32"/>
          <w:szCs w:val="32"/>
          <w:shd w:val="clear" w:color="auto" w:fill="auto"/>
          <w:lang w:bidi="ar"/>
        </w:rPr>
        <w:t>依据</w:t>
      </w:r>
      <w:r>
        <w:rPr>
          <w:rFonts w:hint="eastAsia" w:ascii="仿宋_GB2312" w:hAnsi="仿宋_GB2312" w:eastAsia="仿宋_GB2312" w:cs="仿宋_GB2312"/>
          <w:color w:val="auto"/>
          <w:spacing w:val="-10"/>
          <w:sz w:val="32"/>
          <w:szCs w:val="32"/>
          <w:lang w:val="en-US" w:eastAsia="zh-CN"/>
        </w:rPr>
        <w:t>《药品管理法》</w:t>
      </w:r>
      <w:r>
        <w:rPr>
          <w:rFonts w:hint="eastAsia" w:ascii="仿宋_GB2312" w:hAnsi="仿宋_GB2312" w:eastAsia="仿宋_GB2312" w:cs="仿宋_GB2312"/>
          <w:color w:val="auto"/>
          <w:spacing w:val="-10"/>
          <w:sz w:val="32"/>
          <w:szCs w:val="32"/>
          <w:shd w:val="clear" w:color="auto" w:fill="auto"/>
          <w:lang w:bidi="ar"/>
        </w:rPr>
        <w:t>第一百二十六条</w:t>
      </w:r>
      <w:r>
        <w:rPr>
          <w:rFonts w:hint="eastAsia" w:ascii="仿宋_GB2312" w:hAnsi="仿宋_GB2312" w:eastAsia="仿宋_GB2312" w:cs="仿宋_GB2312"/>
          <w:color w:val="auto"/>
          <w:spacing w:val="-10"/>
          <w:sz w:val="32"/>
          <w:szCs w:val="32"/>
          <w:shd w:val="clear" w:color="auto" w:fill="auto"/>
          <w:lang w:eastAsia="zh-CN" w:bidi="ar"/>
        </w:rPr>
        <w:t>和</w:t>
      </w:r>
      <w:r>
        <w:rPr>
          <w:rFonts w:hint="eastAsia" w:ascii="仿宋_GB2312" w:hAnsi="仿宋_GB2312" w:eastAsia="仿宋_GB2312" w:cs="仿宋_GB2312"/>
          <w:b w:val="0"/>
          <w:bCs w:val="0"/>
          <w:color w:val="auto"/>
          <w:spacing w:val="-10"/>
          <w:kern w:val="2"/>
          <w:sz w:val="32"/>
          <w:szCs w:val="32"/>
          <w:u w:val="none"/>
          <w:shd w:val="clear" w:color="auto" w:fill="auto"/>
          <w:lang w:val="en-US" w:eastAsia="zh-CN"/>
        </w:rPr>
        <w:t>《药品经营和使用质量监督管理办法》第六十九条第（三）</w:t>
      </w:r>
      <w:r>
        <w:rPr>
          <w:rFonts w:hint="eastAsia" w:ascii="仿宋_GB2312" w:hAnsi="仿宋_GB2312" w:eastAsia="仿宋_GB2312" w:cs="仿宋_GB2312"/>
          <w:color w:val="auto"/>
          <w:spacing w:val="-10"/>
          <w:sz w:val="32"/>
          <w:szCs w:val="32"/>
          <w:lang w:val="en-US" w:eastAsia="zh-CN"/>
        </w:rPr>
        <w:t>（五）</w:t>
      </w:r>
      <w:r>
        <w:rPr>
          <w:rFonts w:hint="eastAsia" w:ascii="仿宋_GB2312" w:hAnsi="仿宋_GB2312" w:eastAsia="仿宋_GB2312" w:cs="仿宋_GB2312"/>
          <w:b w:val="0"/>
          <w:bCs w:val="0"/>
          <w:color w:val="auto"/>
          <w:spacing w:val="-10"/>
          <w:kern w:val="2"/>
          <w:sz w:val="32"/>
          <w:szCs w:val="32"/>
          <w:u w:val="none"/>
          <w:shd w:val="clear" w:color="auto" w:fill="auto"/>
          <w:lang w:val="en-US" w:eastAsia="zh-CN"/>
        </w:rPr>
        <w:t>项</w:t>
      </w:r>
      <w:r>
        <w:rPr>
          <w:rFonts w:hint="eastAsia" w:ascii="仿宋_GB2312" w:hAnsi="仿宋_GB2312" w:eastAsia="仿宋_GB2312" w:cs="仿宋_GB2312"/>
          <w:color w:val="auto"/>
          <w:spacing w:val="-10"/>
          <w:sz w:val="32"/>
          <w:szCs w:val="32"/>
          <w:shd w:val="clear" w:color="auto" w:fill="auto"/>
          <w:lang w:bidi="ar"/>
        </w:rPr>
        <w:t>，同时参考《福建省药品监管行政处罚裁量适用细则》第三条、</w:t>
      </w:r>
      <w:r>
        <w:rPr>
          <w:rFonts w:hint="eastAsia" w:ascii="仿宋_GB2312" w:hAnsi="仿宋_GB2312" w:eastAsia="仿宋_GB2312" w:cs="仿宋_GB2312"/>
          <w:color w:val="auto"/>
          <w:spacing w:val="-10"/>
          <w:kern w:val="2"/>
          <w:sz w:val="32"/>
          <w:szCs w:val="32"/>
          <w:lang w:bidi="ar"/>
        </w:rPr>
        <w:t>第十一条第一款第（七）（</w:t>
      </w:r>
      <w:r>
        <w:rPr>
          <w:rFonts w:hint="eastAsia" w:ascii="仿宋_GB2312" w:hAnsi="仿宋_GB2312" w:eastAsia="仿宋_GB2312" w:cs="仿宋_GB2312"/>
          <w:color w:val="auto"/>
          <w:spacing w:val="-10"/>
          <w:sz w:val="32"/>
          <w:szCs w:val="32"/>
          <w:lang w:val="en-US" w:eastAsia="zh-CN"/>
        </w:rPr>
        <w:t>十</w:t>
      </w:r>
      <w:r>
        <w:rPr>
          <w:rFonts w:hint="eastAsia" w:ascii="仿宋_GB2312" w:hAnsi="仿宋_GB2312" w:eastAsia="仿宋_GB2312" w:cs="仿宋_GB2312"/>
          <w:color w:val="auto"/>
          <w:spacing w:val="-10"/>
          <w:kern w:val="2"/>
          <w:sz w:val="32"/>
          <w:szCs w:val="32"/>
          <w:lang w:bidi="ar"/>
        </w:rPr>
        <w:t>）项</w:t>
      </w:r>
      <w:r>
        <w:rPr>
          <w:rFonts w:hint="eastAsia" w:ascii="仿宋_GB2312" w:hAnsi="仿宋_GB2312" w:eastAsia="仿宋_GB2312" w:cs="仿宋_GB2312"/>
          <w:color w:val="auto"/>
          <w:spacing w:val="-10"/>
          <w:sz w:val="32"/>
          <w:szCs w:val="32"/>
          <w:shd w:val="clear" w:color="auto" w:fill="auto"/>
          <w:lang w:eastAsia="zh-CN" w:bidi="ar"/>
        </w:rPr>
        <w:t>、第十三条第一款第（八）项、</w:t>
      </w:r>
      <w:r>
        <w:rPr>
          <w:rFonts w:hint="eastAsia" w:ascii="仿宋_GB2312" w:hAnsi="仿宋_GB2312" w:eastAsia="仿宋_GB2312" w:cs="仿宋_GB2312"/>
          <w:color w:val="auto"/>
          <w:spacing w:val="-10"/>
          <w:sz w:val="32"/>
          <w:szCs w:val="32"/>
          <w:lang w:val="en-US" w:eastAsia="zh-CN"/>
        </w:rPr>
        <w:t>第十五条、</w:t>
      </w:r>
      <w:r>
        <w:rPr>
          <w:rFonts w:hint="eastAsia" w:ascii="仿宋_GB2312" w:hAnsi="仿宋_GB2312" w:eastAsia="仿宋_GB2312" w:cs="仿宋_GB2312"/>
          <w:color w:val="auto"/>
          <w:spacing w:val="-10"/>
          <w:sz w:val="32"/>
          <w:szCs w:val="32"/>
          <w:shd w:val="clear" w:color="auto" w:fill="auto"/>
          <w:lang w:bidi="ar"/>
        </w:rPr>
        <w:t>第二十八条</w:t>
      </w:r>
      <w:r>
        <w:rPr>
          <w:rFonts w:hint="eastAsia" w:ascii="仿宋_GB2312" w:hAnsi="仿宋_GB2312" w:eastAsia="仿宋_GB2312" w:cs="仿宋_GB2312"/>
          <w:color w:val="auto"/>
          <w:spacing w:val="-10"/>
          <w:sz w:val="32"/>
          <w:szCs w:val="32"/>
          <w:lang w:val="en-US" w:eastAsia="zh-CN"/>
        </w:rPr>
        <w:t>和《福建省药品行政处罚裁量基准（试行）》YP-24</w:t>
      </w:r>
      <w:r>
        <w:rPr>
          <w:rFonts w:hint="eastAsia" w:ascii="仿宋_GB2312" w:hAnsi="仿宋_GB2312" w:eastAsia="仿宋_GB2312" w:cs="仿宋_GB2312"/>
          <w:color w:val="auto"/>
          <w:spacing w:val="-10"/>
          <w:sz w:val="32"/>
          <w:szCs w:val="32"/>
          <w:shd w:val="clear" w:color="auto" w:fill="auto"/>
          <w:lang w:bidi="ar"/>
        </w:rPr>
        <w:t>的规定</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b w:val="0"/>
          <w:bCs/>
          <w:color w:val="auto"/>
          <w:sz w:val="32"/>
          <w:szCs w:val="32"/>
          <w:lang w:val="en-US" w:eastAsia="zh-CN"/>
        </w:rPr>
        <w:t>本局决定给予你本人以下行政处罚：</w:t>
      </w:r>
    </w:p>
    <w:p>
      <w:pPr>
        <w:autoSpaceDE/>
        <w:adjustRightInd w:val="0"/>
        <w:snapToGrid w:val="0"/>
        <w:spacing w:beforeLines="0" w:afterLines="0" w:line="620" w:lineRule="exact"/>
        <w:ind w:firstLine="60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pacing w:val="-10"/>
          <w:sz w:val="32"/>
          <w:szCs w:val="32"/>
          <w:shd w:val="clear" w:color="auto" w:fill="FFFFFF"/>
          <w:lang w:val="en-US" w:eastAsia="zh-CN" w:bidi="ar"/>
        </w:rPr>
        <w:t>1.</w:t>
      </w:r>
      <w:r>
        <w:rPr>
          <w:rFonts w:hint="eastAsia" w:ascii="仿宋_GB2312" w:hAnsi="仿宋_GB2312" w:eastAsia="仿宋_GB2312" w:cs="仿宋_GB2312"/>
          <w:bCs/>
          <w:color w:val="auto"/>
          <w:sz w:val="32"/>
          <w:szCs w:val="32"/>
          <w:shd w:val="clear" w:color="auto" w:fill="FFFFFF"/>
          <w:lang w:bidi="ar"/>
        </w:rPr>
        <w:t>没收自</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月至202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年10月</w:t>
      </w:r>
      <w:r>
        <w:rPr>
          <w:rFonts w:hint="eastAsia" w:ascii="仿宋_GB2312" w:hAnsi="仿宋_GB2312" w:eastAsia="仿宋_GB2312" w:cs="仿宋_GB2312"/>
          <w:bCs/>
          <w:color w:val="auto"/>
          <w:sz w:val="32"/>
          <w:szCs w:val="32"/>
          <w:shd w:val="clear" w:color="auto" w:fill="FFFFFF"/>
          <w:lang w:bidi="ar"/>
        </w:rPr>
        <w:t>期间从</w:t>
      </w:r>
      <w:r>
        <w:rPr>
          <w:rFonts w:hint="eastAsia" w:ascii="仿宋_GB2312" w:hAnsi="仿宋_GB2312" w:eastAsia="仿宋_GB2312" w:cs="仿宋_GB2312"/>
          <w:color w:val="auto"/>
          <w:sz w:val="32"/>
          <w:szCs w:val="32"/>
          <w:lang w:eastAsia="zh-CN" w:bidi="ar"/>
        </w:rPr>
        <w:t>你公司</w:t>
      </w:r>
      <w:r>
        <w:rPr>
          <w:rFonts w:hint="eastAsia" w:ascii="仿宋_GB2312" w:hAnsi="仿宋_GB2312" w:eastAsia="仿宋_GB2312" w:cs="仿宋_GB2312"/>
          <w:bCs/>
          <w:color w:val="auto"/>
          <w:sz w:val="32"/>
          <w:szCs w:val="32"/>
          <w:shd w:val="clear" w:color="auto" w:fill="FFFFFF"/>
          <w:lang w:bidi="ar"/>
        </w:rPr>
        <w:t>所获收入</w:t>
      </w:r>
      <w:r>
        <w:rPr>
          <w:rFonts w:hint="eastAsia" w:ascii="仿宋_GB2312" w:hAnsi="仿宋_GB2312" w:eastAsia="仿宋_GB2312" w:cs="仿宋_GB2312"/>
          <w:bCs/>
          <w:color w:val="auto"/>
          <w:sz w:val="32"/>
          <w:szCs w:val="32"/>
          <w:shd w:val="clear" w:color="auto" w:fill="FFFFFF"/>
          <w:lang w:val="en-US" w:eastAsia="zh-CN" w:bidi="ar"/>
        </w:rPr>
        <w:t>76000</w:t>
      </w:r>
      <w:r>
        <w:rPr>
          <w:rFonts w:hint="eastAsia" w:ascii="仿宋_GB2312" w:hAnsi="仿宋_GB2312" w:eastAsia="仿宋_GB2312" w:cs="仿宋_GB2312"/>
          <w:bCs/>
          <w:color w:val="auto"/>
          <w:sz w:val="32"/>
          <w:szCs w:val="32"/>
          <w:shd w:val="clear" w:color="auto" w:fill="FFFFFF"/>
          <w:lang w:bidi="ar"/>
        </w:rPr>
        <w:t>元，</w:t>
      </w:r>
      <w:r>
        <w:rPr>
          <w:rFonts w:hint="eastAsia" w:ascii="仿宋_GB2312" w:hAnsi="仿宋_GB2312" w:eastAsia="仿宋_GB2312" w:cs="仿宋_GB2312"/>
          <w:bCs/>
          <w:color w:val="auto"/>
          <w:kern w:val="0"/>
          <w:sz w:val="32"/>
          <w:szCs w:val="32"/>
          <w:shd w:val="clear" w:color="auto" w:fill="FFFFFF"/>
          <w:lang w:bidi="ar"/>
        </w:rPr>
        <w:t>并处所获收入百分之二十</w:t>
      </w:r>
      <w:r>
        <w:rPr>
          <w:rFonts w:hint="eastAsia" w:ascii="仿宋_GB2312" w:hAnsi="仿宋_GB2312" w:eastAsia="仿宋_GB2312" w:cs="仿宋_GB2312"/>
          <w:bCs/>
          <w:color w:val="auto"/>
          <w:kern w:val="0"/>
          <w:sz w:val="32"/>
          <w:szCs w:val="32"/>
          <w:shd w:val="clear" w:color="auto" w:fill="FFFFFF"/>
          <w:lang w:eastAsia="zh-CN" w:bidi="ar"/>
        </w:rPr>
        <w:t>五</w:t>
      </w:r>
      <w:r>
        <w:rPr>
          <w:rFonts w:hint="eastAsia" w:ascii="仿宋_GB2312" w:hAnsi="仿宋_GB2312" w:eastAsia="仿宋_GB2312" w:cs="仿宋_GB2312"/>
          <w:bCs/>
          <w:color w:val="auto"/>
          <w:kern w:val="0"/>
          <w:sz w:val="32"/>
          <w:szCs w:val="32"/>
          <w:shd w:val="clear" w:color="auto" w:fill="FFFFFF"/>
          <w:lang w:bidi="ar"/>
        </w:rPr>
        <w:t>的罚款</w:t>
      </w:r>
      <w:r>
        <w:rPr>
          <w:rFonts w:hint="eastAsia" w:ascii="仿宋_GB2312" w:hAnsi="仿宋_GB2312" w:eastAsia="仿宋_GB2312" w:cs="仿宋_GB2312"/>
          <w:bCs/>
          <w:color w:val="auto"/>
          <w:kern w:val="0"/>
          <w:sz w:val="32"/>
          <w:szCs w:val="32"/>
          <w:shd w:val="clear" w:color="auto" w:fill="FFFFFF"/>
          <w:lang w:val="en-US" w:eastAsia="zh-CN" w:bidi="ar"/>
        </w:rPr>
        <w:t>1</w:t>
      </w:r>
      <w:r>
        <w:rPr>
          <w:rFonts w:hint="eastAsia" w:ascii="仿宋_GB2312" w:hAnsi="仿宋_GB2312" w:eastAsia="仿宋_GB2312" w:cs="仿宋_GB2312"/>
          <w:bCs/>
          <w:color w:val="auto"/>
          <w:kern w:val="0"/>
          <w:sz w:val="32"/>
          <w:szCs w:val="32"/>
          <w:shd w:val="clear" w:color="auto" w:fill="FFFFFF"/>
          <w:lang w:val="en-US" w:eastAsia="zh-CN" w:bidi="ar"/>
        </w:rPr>
        <w:t>90</w:t>
      </w:r>
      <w:r>
        <w:rPr>
          <w:rFonts w:hint="eastAsia" w:ascii="仿宋_GB2312" w:hAnsi="仿宋_GB2312" w:eastAsia="仿宋_GB2312" w:cs="仿宋_GB2312"/>
          <w:bCs/>
          <w:color w:val="auto"/>
          <w:kern w:val="0"/>
          <w:sz w:val="32"/>
          <w:szCs w:val="32"/>
          <w:shd w:val="clear" w:color="auto" w:fill="FFFFFF"/>
          <w:lang w:val="en-US" w:eastAsia="zh-CN" w:bidi="ar"/>
        </w:rPr>
        <w:t>00</w:t>
      </w:r>
      <w:r>
        <w:rPr>
          <w:rFonts w:hint="eastAsia" w:ascii="仿宋_GB2312" w:hAnsi="仿宋_GB2312" w:eastAsia="仿宋_GB2312" w:cs="仿宋_GB2312"/>
          <w:bCs/>
          <w:color w:val="auto"/>
          <w:kern w:val="0"/>
          <w:sz w:val="32"/>
          <w:szCs w:val="32"/>
          <w:shd w:val="clear" w:color="auto" w:fill="FFFFFF"/>
          <w:lang w:bidi="ar"/>
        </w:rPr>
        <w:t>元</w:t>
      </w:r>
      <w:r>
        <w:rPr>
          <w:rFonts w:hint="eastAsia" w:ascii="仿宋_GB2312" w:hAnsi="仿宋_GB2312" w:eastAsia="仿宋_GB2312" w:cs="仿宋_GB2312"/>
          <w:bCs/>
          <w:color w:val="auto"/>
          <w:kern w:val="0"/>
          <w:sz w:val="32"/>
          <w:szCs w:val="32"/>
          <w:shd w:val="clear" w:color="auto" w:fill="FFFFFF"/>
          <w:lang w:eastAsia="zh-CN" w:bidi="ar"/>
        </w:rPr>
        <w:t>。</w:t>
      </w:r>
      <w:r>
        <w:rPr>
          <w:rFonts w:hint="eastAsia" w:ascii="仿宋_GB2312" w:hAnsi="仿宋_GB2312" w:eastAsia="仿宋_GB2312" w:cs="仿宋_GB2312"/>
          <w:color w:val="auto"/>
          <w:sz w:val="32"/>
          <w:szCs w:val="32"/>
        </w:rPr>
        <w:t>以上罚没款合计</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bCs/>
          <w:color w:val="auto"/>
          <w:sz w:val="32"/>
          <w:szCs w:val="32"/>
        </w:rPr>
        <w:t>。</w:t>
      </w:r>
    </w:p>
    <w:p>
      <w:pPr>
        <w:keepLines w:val="0"/>
        <w:pageBreakBefore w:val="0"/>
        <w:widowControl/>
        <w:numPr>
          <w:ilvl w:val="0"/>
          <w:numId w:val="1"/>
        </w:numPr>
        <w:shd w:val="clear" w:color="auto" w:fill="FFFFFF"/>
        <w:kinsoku/>
        <w:wordWrap/>
        <w:overflowPunct/>
        <w:topLinePunct w:val="0"/>
        <w:autoSpaceDE/>
        <w:autoSpaceDN/>
        <w:bidi w:val="0"/>
        <w:adjustRightInd/>
        <w:snapToGrid/>
        <w:spacing w:beforeLines="0" w:beforeAutospacing="0" w:afterLines="0" w:afterAutospacing="0" w:line="620" w:lineRule="exact"/>
        <w:ind w:left="28" w:right="16" w:firstLine="640" w:firstLineChars="200"/>
        <w:rPr>
          <w:rFonts w:hint="eastAsia" w:ascii="仿宋_GB2312" w:hAnsi="仿宋_GB2312" w:eastAsia="仿宋_GB2312" w:cs="仿宋_GB2312"/>
          <w:bCs w:val="0"/>
          <w:color w:val="auto"/>
          <w:spacing w:val="-10"/>
          <w:sz w:val="32"/>
          <w:szCs w:val="32"/>
        </w:rPr>
      </w:pPr>
      <w:r>
        <w:rPr>
          <w:rFonts w:hint="eastAsia" w:ascii="仿宋_GB2312" w:hAnsi="仿宋_GB2312" w:eastAsia="仿宋_GB2312" w:cs="仿宋_GB2312"/>
          <w:bCs/>
          <w:color w:val="auto"/>
          <w:kern w:val="0"/>
          <w:sz w:val="32"/>
          <w:szCs w:val="32"/>
          <w:shd w:val="clear" w:color="auto" w:fill="FFFFFF"/>
          <w:lang w:eastAsia="zh-CN" w:bidi="ar"/>
        </w:rPr>
        <w:t>十五</w:t>
      </w:r>
      <w:r>
        <w:rPr>
          <w:rFonts w:hint="eastAsia" w:ascii="仿宋_GB2312" w:hAnsi="仿宋_GB2312" w:eastAsia="仿宋_GB2312" w:cs="仿宋_GB2312"/>
          <w:bCs/>
          <w:color w:val="auto"/>
          <w:kern w:val="0"/>
          <w:sz w:val="32"/>
          <w:szCs w:val="32"/>
          <w:shd w:val="clear" w:color="auto" w:fill="FFFFFF"/>
          <w:lang w:bidi="ar"/>
        </w:rPr>
        <w:t>年</w:t>
      </w:r>
      <w:r>
        <w:rPr>
          <w:rFonts w:hint="eastAsia" w:ascii="仿宋_GB2312" w:hAnsi="仿宋_GB2312" w:eastAsia="仿宋_GB2312" w:cs="仿宋_GB2312"/>
          <w:bCs/>
          <w:color w:val="auto"/>
          <w:sz w:val="32"/>
          <w:szCs w:val="32"/>
          <w:shd w:val="clear" w:color="auto" w:fill="FFFFFF"/>
          <w:lang w:bidi="ar"/>
        </w:rPr>
        <w:t>禁止从事药品生产经营等活动</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620" w:lineRule="exact"/>
        <w:ind w:left="28" w:right="16" w:firstLine="640" w:firstLineChars="200"/>
        <w:textAlignment w:val="auto"/>
        <w:rPr>
          <w:rFonts w:hint="eastAsia" w:ascii="仿宋_GB2312" w:hAnsi="仿宋_GB2312" w:eastAsia="仿宋_GB2312" w:cs="仿宋_GB2312"/>
          <w:b w:val="0"/>
          <w:bCs w:val="0"/>
          <w:color w:val="auto"/>
          <w:spacing w:val="0"/>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620" w:lineRule="exact"/>
        <w:ind w:right="0" w:rightChars="0"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rPr>
        <w:t>依据《</w:t>
      </w:r>
      <w:r>
        <w:rPr>
          <w:rFonts w:hint="eastAsia" w:ascii="仿宋_GB2312" w:hAnsi="仿宋_GB2312" w:eastAsia="仿宋_GB2312" w:cs="仿宋_GB2312"/>
          <w:sz w:val="32"/>
          <w:szCs w:val="32"/>
          <w:u w:val="none"/>
          <w:lang w:val="en-US" w:eastAsia="zh-CN"/>
        </w:rPr>
        <w:t>中华人民共和国</w:t>
      </w:r>
      <w:r>
        <w:rPr>
          <w:rFonts w:hint="eastAsia" w:ascii="仿宋_GB2312" w:hAnsi="仿宋_GB2312" w:eastAsia="仿宋_GB2312" w:cs="仿宋_GB2312"/>
          <w:color w:val="000000"/>
          <w:sz w:val="32"/>
          <w:szCs w:val="32"/>
        </w:rPr>
        <w:t>行政处罚法》第</w:t>
      </w:r>
      <w:r>
        <w:rPr>
          <w:rFonts w:hint="eastAsia" w:ascii="仿宋_GB2312" w:hAnsi="仿宋_GB2312" w:eastAsia="仿宋_GB2312" w:cs="仿宋_GB2312"/>
          <w:color w:val="000000"/>
          <w:sz w:val="32"/>
          <w:szCs w:val="32"/>
          <w:lang w:eastAsia="zh-CN"/>
        </w:rPr>
        <w:t>六十七</w:t>
      </w:r>
      <w:r>
        <w:rPr>
          <w:rFonts w:hint="eastAsia" w:ascii="仿宋_GB2312" w:hAnsi="仿宋_GB2312" w:eastAsia="仿宋_GB2312" w:cs="仿宋_GB2312"/>
          <w:color w:val="000000"/>
          <w:sz w:val="32"/>
          <w:szCs w:val="32"/>
        </w:rPr>
        <w:t>条</w:t>
      </w:r>
      <w:r>
        <w:rPr>
          <w:rFonts w:hint="eastAsia" w:ascii="仿宋_GB2312" w:hAnsi="仿宋_GB2312" w:eastAsia="仿宋_GB2312" w:cs="仿宋_GB2312"/>
          <w:color w:val="000000"/>
          <w:sz w:val="32"/>
          <w:szCs w:val="32"/>
          <w:lang w:eastAsia="zh-CN"/>
        </w:rPr>
        <w:t>第三款</w:t>
      </w:r>
      <w:r>
        <w:rPr>
          <w:rFonts w:hint="eastAsia" w:ascii="仿宋_GB2312" w:hAnsi="仿宋_GB2312" w:eastAsia="仿宋_GB2312" w:cs="仿宋_GB2312"/>
          <w:color w:val="000000"/>
          <w:sz w:val="32"/>
          <w:szCs w:val="32"/>
        </w:rPr>
        <w:t>规定，</w:t>
      </w:r>
      <w:r>
        <w:rPr>
          <w:rFonts w:hint="eastAsia" w:ascii="仿宋_GB2312" w:hAnsi="仿宋_GB2312" w:eastAsia="仿宋_GB2312" w:cs="仿宋_GB2312"/>
          <w:kern w:val="1"/>
          <w:sz w:val="32"/>
          <w:szCs w:val="32"/>
        </w:rPr>
        <w:t>当事人</w:t>
      </w:r>
      <w:r>
        <w:rPr>
          <w:rFonts w:hint="eastAsia" w:ascii="仿宋_GB2312" w:hAnsi="仿宋_GB2312" w:eastAsia="仿宋_GB2312" w:cs="仿宋_GB2312"/>
          <w:sz w:val="32"/>
          <w:szCs w:val="32"/>
          <w:u w:val="none"/>
          <w:lang w:eastAsia="zh-CN"/>
        </w:rPr>
        <w:t>接到本行政处罚决定之日起</w:t>
      </w:r>
      <w:r>
        <w:rPr>
          <w:rFonts w:hint="eastAsia" w:ascii="仿宋_GB2312" w:hAnsi="仿宋_GB2312" w:eastAsia="仿宋_GB2312" w:cs="仿宋_GB2312"/>
          <w:sz w:val="32"/>
          <w:szCs w:val="32"/>
          <w:u w:val="none"/>
          <w:lang w:val="en-US" w:eastAsia="zh-CN"/>
        </w:rPr>
        <w:t>15日内携</w:t>
      </w:r>
      <w:r>
        <w:rPr>
          <w:rFonts w:hint="eastAsia" w:ascii="仿宋_GB2312" w:hAnsi="仿宋_GB2312" w:eastAsia="仿宋_GB2312" w:cs="仿宋_GB2312"/>
          <w:sz w:val="32"/>
          <w:szCs w:val="32"/>
          <w:u w:val="single"/>
          <w:lang w:val="en-US" w:eastAsia="zh-CN"/>
        </w:rPr>
        <w:t>福建省药品监督管理局福州药品稽查办公室</w:t>
      </w:r>
      <w:r>
        <w:rPr>
          <w:rFonts w:hint="eastAsia" w:ascii="仿宋_GB2312" w:hAnsi="仿宋_GB2312" w:eastAsia="仿宋_GB2312" w:cs="仿宋_GB2312"/>
          <w:sz w:val="32"/>
          <w:szCs w:val="32"/>
          <w:u w:val="none"/>
          <w:lang w:val="en-US" w:eastAsia="zh-CN"/>
        </w:rPr>
        <w:t>开具的行政罚没缴款通知书，至各银行网点或者</w:t>
      </w:r>
      <w:r>
        <w:rPr>
          <w:rFonts w:hint="eastAsia" w:ascii="仿宋_GB2312" w:hAnsi="仿宋_GB2312" w:eastAsia="仿宋_GB2312" w:cs="仿宋_GB2312"/>
          <w:color w:val="auto"/>
          <w:sz w:val="32"/>
          <w:szCs w:val="32"/>
          <w:u w:val="none"/>
          <w:lang w:val="en-US" w:eastAsia="zh-CN"/>
        </w:rPr>
        <w:t>通过电子支付系统</w:t>
      </w:r>
      <w:r>
        <w:rPr>
          <w:rFonts w:hint="eastAsia" w:ascii="仿宋_GB2312" w:hAnsi="仿宋_GB2312" w:eastAsia="仿宋_GB2312" w:cs="仿宋_GB2312"/>
          <w:sz w:val="32"/>
          <w:szCs w:val="32"/>
          <w:u w:val="none"/>
          <w:lang w:val="en-US" w:eastAsia="zh-CN"/>
        </w:rPr>
        <w:t>缴纳并将缴纳凭证送交福建省药品监督管理局福州药品稽查办公室。到期不缴纳罚款的，依据《中华人民共和国行政处罚法》第七十二条第一款第（一）项的规定，本局将每日按罚款数额的百分之三加处罚款，并依法申请人民法院强制执行</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 xml:space="preserve">  </w:t>
      </w:r>
    </w:p>
    <w:p>
      <w:pPr>
        <w:keepNext w:val="0"/>
        <w:keepLines w:val="0"/>
        <w:pageBreakBefore w:val="0"/>
        <w:kinsoku/>
        <w:wordWrap/>
        <w:overflowPunct/>
        <w:topLinePunct w:val="0"/>
        <w:autoSpaceDE/>
        <w:autoSpaceDN/>
        <w:bidi w:val="0"/>
        <w:adjustRightInd/>
        <w:snapToGrid/>
        <w:spacing w:line="620" w:lineRule="exact"/>
        <w:ind w:right="0" w:rightChars="0"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如你（单位）不服本行政处罚决定，可以在收到本行政处罚决定书之日起</w:t>
      </w:r>
      <w:r>
        <w:rPr>
          <w:rFonts w:hint="eastAsia" w:ascii="仿宋_GB2312" w:hAnsi="仿宋_GB2312" w:eastAsia="仿宋_GB2312" w:cs="仿宋_GB2312"/>
          <w:color w:val="000000"/>
          <w:sz w:val="32"/>
          <w:szCs w:val="32"/>
          <w:u w:val="single"/>
          <w:lang w:eastAsia="zh-CN"/>
        </w:rPr>
        <w:t>六十日</w:t>
      </w:r>
      <w:r>
        <w:rPr>
          <w:rFonts w:hint="eastAsia" w:ascii="仿宋_GB2312" w:hAnsi="仿宋_GB2312" w:eastAsia="仿宋_GB2312" w:cs="仿宋_GB2312"/>
          <w:color w:val="000000"/>
          <w:sz w:val="32"/>
          <w:szCs w:val="32"/>
          <w:u w:val="none"/>
          <w:lang w:eastAsia="zh-CN"/>
        </w:rPr>
        <w:t>内向</w:t>
      </w:r>
      <w:r>
        <w:rPr>
          <w:rFonts w:hint="eastAsia" w:ascii="仿宋_GB2312" w:hAnsi="仿宋_GB2312" w:eastAsia="仿宋_GB2312" w:cs="仿宋_GB2312"/>
          <w:color w:val="000000"/>
          <w:sz w:val="32"/>
          <w:szCs w:val="32"/>
          <w:u w:val="single"/>
          <w:lang w:eastAsia="zh-CN"/>
        </w:rPr>
        <w:t>福建省人民政府</w:t>
      </w:r>
      <w:r>
        <w:rPr>
          <w:rFonts w:hint="eastAsia" w:ascii="仿宋_GB2312" w:hAnsi="仿宋_GB2312" w:eastAsia="仿宋_GB2312" w:cs="仿宋_GB2312"/>
          <w:color w:val="000000"/>
          <w:sz w:val="32"/>
          <w:szCs w:val="32"/>
          <w:u w:val="none"/>
          <w:lang w:eastAsia="zh-CN"/>
        </w:rPr>
        <w:t>申请行政复议；也可以在</w:t>
      </w:r>
      <w:r>
        <w:rPr>
          <w:rFonts w:hint="eastAsia" w:ascii="仿宋_GB2312" w:hAnsi="仿宋_GB2312" w:eastAsia="仿宋_GB2312" w:cs="仿宋_GB2312"/>
          <w:color w:val="000000"/>
          <w:sz w:val="32"/>
          <w:szCs w:val="32"/>
          <w:u w:val="single"/>
          <w:lang w:eastAsia="zh-CN"/>
        </w:rPr>
        <w:t>六个月</w:t>
      </w:r>
      <w:r>
        <w:rPr>
          <w:rFonts w:hint="eastAsia" w:ascii="仿宋_GB2312" w:hAnsi="仿宋_GB2312" w:eastAsia="仿宋_GB2312" w:cs="仿宋_GB2312"/>
          <w:color w:val="000000"/>
          <w:sz w:val="32"/>
          <w:szCs w:val="32"/>
          <w:u w:val="none"/>
          <w:lang w:eastAsia="zh-CN"/>
        </w:rPr>
        <w:t>内依法向福州市鼓楼区人民法院提起行政诉讼。申请行政复议或者提起行政诉讼期间，行政处罚不停止执行。</w:t>
      </w:r>
    </w:p>
    <w:p>
      <w:pPr>
        <w:keepNext w:val="0"/>
        <w:keepLines w:val="0"/>
        <w:pageBreakBefore w:val="0"/>
        <w:kinsoku/>
        <w:wordWrap/>
        <w:overflowPunct/>
        <w:topLinePunct w:val="0"/>
        <w:autoSpaceDE/>
        <w:autoSpaceDN/>
        <w:bidi w:val="0"/>
        <w:adjustRightInd/>
        <w:snapToGrid/>
        <w:spacing w:line="620" w:lineRule="exact"/>
        <w:ind w:firstLine="601"/>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p>
    <w:p>
      <w:pPr>
        <w:keepNext w:val="0"/>
        <w:keepLines w:val="0"/>
        <w:pageBreakBefore w:val="0"/>
        <w:kinsoku/>
        <w:wordWrap/>
        <w:overflowPunct/>
        <w:topLinePunct w:val="0"/>
        <w:autoSpaceDE/>
        <w:autoSpaceDN/>
        <w:bidi w:val="0"/>
        <w:adjustRightInd/>
        <w:snapToGrid/>
        <w:spacing w:line="620" w:lineRule="exact"/>
        <w:ind w:firstLine="601"/>
        <w:jc w:val="center"/>
        <w:textAlignment w:val="auto"/>
        <w:rPr>
          <w:rFonts w:hint="eastAsia" w:ascii="仿宋_GB2312" w:hAnsi="仿宋_GB2312" w:eastAsia="仿宋_GB2312" w:cs="仿宋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20" w:lineRule="exact"/>
        <w:ind w:firstLine="601"/>
        <w:jc w:val="center"/>
        <w:textAlignment w:val="auto"/>
        <w:rPr>
          <w:rFonts w:hint="eastAsia" w:ascii="仿宋_GB2312" w:hAnsi="仿宋_GB2312" w:eastAsia="仿宋_GB2312" w:cs="仿宋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20" w:lineRule="exact"/>
        <w:ind w:firstLine="601"/>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福建省药品</w:t>
      </w:r>
      <w:r>
        <w:rPr>
          <w:rFonts w:hint="eastAsia" w:ascii="仿宋_GB2312" w:hAnsi="仿宋_GB2312" w:eastAsia="仿宋_GB2312" w:cs="仿宋_GB2312"/>
          <w:color w:val="000000"/>
          <w:sz w:val="32"/>
          <w:szCs w:val="32"/>
        </w:rPr>
        <w:t>监督管理局</w:t>
      </w:r>
    </w:p>
    <w:p>
      <w:pPr>
        <w:keepNext w:val="0"/>
        <w:keepLines w:val="0"/>
        <w:pageBreakBefore w:val="0"/>
        <w:kinsoku/>
        <w:wordWrap/>
        <w:overflowPunct/>
        <w:topLinePunct w:val="0"/>
        <w:autoSpaceDE/>
        <w:autoSpaceDN/>
        <w:bidi w:val="0"/>
        <w:adjustRightInd/>
        <w:snapToGrid/>
        <w:spacing w:line="620" w:lineRule="exact"/>
        <w:ind w:right="640" w:firstLine="601"/>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（印 章）</w:t>
      </w: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日</w:t>
      </w: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spacing w:line="620" w:lineRule="exact"/>
        <w:ind w:right="640" w:firstLine="600"/>
        <w:jc w:val="center"/>
        <w:textAlignment w:val="auto"/>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keepNext w:val="0"/>
        <w:keepLines w:val="0"/>
        <w:pageBreakBefore w:val="0"/>
        <w:widowControl w:val="0"/>
        <w:kinsoku/>
        <w:wordWrap w:val="0"/>
        <w:overflowPunct/>
        <w:topLinePunct w:val="0"/>
        <w:autoSpaceDE/>
        <w:autoSpaceDN/>
        <w:bidi w:val="0"/>
        <w:adjustRightInd/>
        <w:snapToGrid w:val="0"/>
        <w:spacing w:line="620" w:lineRule="exact"/>
        <w:jc w:val="center"/>
        <w:textAlignment w:val="auto"/>
        <w:rPr>
          <w:rFonts w:ascii="黑体" w:hAnsi="黑体" w:eastAsia="黑体" w:cs="黑体"/>
          <w:color w:val="000000"/>
          <w:sz w:val="28"/>
          <w:szCs w:val="28"/>
        </w:rPr>
      </w:pPr>
      <w:r>
        <w:rPr>
          <w:rFonts w:hint="eastAsia" w:ascii="黑体" w:hAnsi="黑体" w:eastAsia="黑体" w:cs="黑体"/>
          <w:color w:val="000000"/>
          <w:sz w:val="30"/>
          <w:szCs w:val="30"/>
          <w:lang w:eastAsia="zh-CN"/>
        </w:rPr>
        <w:t>（我局</w:t>
      </w:r>
      <w:r>
        <w:rPr>
          <w:rFonts w:hint="eastAsia" w:ascii="黑体" w:hAnsi="黑体" w:eastAsia="黑体" w:cs="黑体"/>
          <w:color w:val="000000"/>
          <w:sz w:val="30"/>
          <w:szCs w:val="30"/>
        </w:rPr>
        <w:t>将依法向社会公示本行政处罚决定信息）</w:t>
      </w:r>
    </w:p>
    <w:p>
      <w:pPr>
        <w:keepNext w:val="0"/>
        <w:keepLines w:val="0"/>
        <w:pageBreakBefore w:val="0"/>
        <w:widowControl w:val="0"/>
        <w:kinsoku/>
        <w:wordWrap w:val="0"/>
        <w:overflowPunct/>
        <w:topLinePunct w:val="0"/>
        <w:autoSpaceDE/>
        <w:autoSpaceDN/>
        <w:bidi w:val="0"/>
        <w:adjustRightInd/>
        <w:snapToGrid/>
        <w:spacing w:line="620" w:lineRule="exact"/>
        <w:ind w:left="0" w:leftChars="0"/>
        <w:textAlignment w:val="auto"/>
      </w:pPr>
      <w:r>
        <w:rPr>
          <w:rFonts w:ascii="Times New Roman" w:hAnsi="Times New Roman" w:eastAsia="仿宋_GB2312"/>
          <w:sz w:val="32"/>
        </w:rPr>
        <mc:AlternateContent>
          <mc:Choice Requires="wps">
            <w:drawing>
              <wp:anchor distT="0" distB="0" distL="114300" distR="114300" simplePos="0" relativeHeight="251663360" behindDoc="0" locked="0" layoutInCell="1" allowOverlap="1">
                <wp:simplePos x="0" y="0"/>
                <wp:positionH relativeFrom="column">
                  <wp:posOffset>-139065</wp:posOffset>
                </wp:positionH>
                <wp:positionV relativeFrom="paragraph">
                  <wp:posOffset>116840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0.95pt;margin-top:9.2pt;height:0.05pt;width:437.05pt;z-index:251663360;mso-width-relative:page;mso-height-relative:page;" filled="f" stroked="t" coordsize="21600,21600" o:gfxdata="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U2VhudgAAAAJAQAADwAAAAAAAAABACAAAAA4AAAA&#10;ZHJzL2Rvd25yZXYueG1sUEsBAhQAFAAAAAgAh07iQDlLDwPxAQAA6QMAAA4AAAAAAAAAAQAgAAAA&#10;PQEAAGRycy9lMm9Eb2MueG1sUEsFBgAAAAAGAAYAWQEAAKA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638.35pt;height:0.1pt;width:453.75pt;z-index:251662336;mso-width-relative:page;mso-height-relative:page;" filled="f" stroked="t" coordsize="21600,21600" o:gfxdata="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i+/zkdcAAAAKAQAADwAAAAAAAAABACAAAAA4&#10;AAAAZHJzL2Rvd25yZXYueG1sUEsBAhQAFAAAAAgAh07iQOVfcUP1AQAA5wMAAA4AAAAAAAAAAQAg&#10;AAAAPAEAAGRycy9lMm9Eb2MueG1sUEsFBgAAAAAGAAYAWQEAAKM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eastAsia="zh-CN"/>
        </w:rPr>
        <w:t>三</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lang w:eastAsia="zh-CN"/>
        </w:rPr>
        <w:t>一</w:t>
      </w:r>
      <w:r>
        <w:rPr>
          <w:rFonts w:hint="eastAsia" w:ascii="Times New Roman" w:hAnsi="Times New Roman" w:eastAsia="仿宋_GB2312" w:cs="仿宋"/>
          <w:color w:val="000000"/>
          <w:sz w:val="32"/>
          <w:szCs w:val="32"/>
        </w:rPr>
        <w:t>份送达，</w:t>
      </w:r>
      <w:r>
        <w:rPr>
          <w:rFonts w:hint="eastAsia" w:ascii="Times New Roman" w:hAnsi="Times New Roman" w:eastAsia="仿宋_GB2312" w:cs="仿宋"/>
          <w:color w:val="000000"/>
          <w:sz w:val="32"/>
          <w:szCs w:val="32"/>
          <w:u w:val="single"/>
        </w:rPr>
        <w:t>一</w:t>
      </w:r>
      <w:r>
        <w:rPr>
          <w:rFonts w:hint="eastAsia" w:ascii="Times New Roman" w:hAnsi="Times New Roman" w:eastAsia="仿宋_GB2312" w:cs="仿宋"/>
          <w:color w:val="000000"/>
          <w:sz w:val="32"/>
          <w:szCs w:val="32"/>
        </w:rPr>
        <w:t>份归档，</w:t>
      </w:r>
      <w:r>
        <w:rPr>
          <w:rFonts w:hint="eastAsia" w:ascii="Times New Roman" w:hAnsi="Times New Roman" w:eastAsia="仿宋_GB2312" w:cs="仿宋"/>
          <w:color w:val="000000"/>
          <w:sz w:val="32"/>
          <w:szCs w:val="32"/>
          <w:u w:val="none"/>
        </w:rPr>
        <w:t xml:space="preserve"> </w:t>
      </w:r>
      <w:r>
        <w:rPr>
          <w:rFonts w:hint="eastAsia" w:ascii="Times New Roman" w:hAnsi="Times New Roman" w:eastAsia="仿宋_GB2312" w:cs="仿宋"/>
          <w:color w:val="000000"/>
          <w:sz w:val="32"/>
          <w:szCs w:val="32"/>
          <w:u w:val="single"/>
          <w:lang w:eastAsia="zh-CN"/>
        </w:rPr>
        <w:t>一</w:t>
      </w:r>
      <w:r>
        <w:rPr>
          <w:rFonts w:hint="eastAsia" w:ascii="Times New Roman" w:hAnsi="Times New Roman" w:eastAsia="仿宋_GB2312" w:cs="仿宋"/>
          <w:color w:val="000000"/>
          <w:sz w:val="32"/>
          <w:szCs w:val="32"/>
          <w:u w:val="none"/>
          <w:lang w:eastAsia="zh-CN"/>
        </w:rPr>
        <w:t>份留底</w:t>
      </w:r>
      <w:r>
        <w:rPr>
          <w:rFonts w:hint="eastAsia" w:ascii="Times New Roman" w:hAnsi="Times New Roman" w:eastAsia="仿宋_GB2312" w:cs="仿宋"/>
          <w:color w:val="000000"/>
          <w:sz w:val="32"/>
          <w:szCs w:val="32"/>
        </w:rPr>
        <w:t>。</w:t>
      </w:r>
    </w:p>
    <w:p>
      <w:pPr>
        <w:pStyle w:val="2"/>
        <w:keepNext w:val="0"/>
        <w:keepLines w:val="0"/>
        <w:pageBreakBefore w:val="0"/>
        <w:kinsoku/>
        <w:overflowPunct/>
        <w:topLinePunct w:val="0"/>
        <w:autoSpaceDE/>
        <w:autoSpaceDN/>
        <w:bidi w:val="0"/>
        <w:spacing w:line="62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D3A61"/>
    <w:multiLevelType w:val="singleLevel"/>
    <w:tmpl w:val="616D3A6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wZDdlNTJkNDdhYzRlNGJjMWUxZjliNTE4YTM2ODYifQ=="/>
  </w:docVars>
  <w:rsids>
    <w:rsidRoot w:val="13951A5D"/>
    <w:rsid w:val="02D568CE"/>
    <w:rsid w:val="02E050EF"/>
    <w:rsid w:val="0DA82202"/>
    <w:rsid w:val="0FBF1DFA"/>
    <w:rsid w:val="1299763A"/>
    <w:rsid w:val="130A25DE"/>
    <w:rsid w:val="13951A5D"/>
    <w:rsid w:val="214F23CD"/>
    <w:rsid w:val="21647CCC"/>
    <w:rsid w:val="249103BE"/>
    <w:rsid w:val="2D821BBD"/>
    <w:rsid w:val="30A20469"/>
    <w:rsid w:val="39632ABC"/>
    <w:rsid w:val="3C340AB4"/>
    <w:rsid w:val="3CE652ED"/>
    <w:rsid w:val="3ECA102E"/>
    <w:rsid w:val="3FEF72AB"/>
    <w:rsid w:val="43941E63"/>
    <w:rsid w:val="452C208B"/>
    <w:rsid w:val="491A08B0"/>
    <w:rsid w:val="4D9C59BC"/>
    <w:rsid w:val="577A0985"/>
    <w:rsid w:val="62BC6382"/>
    <w:rsid w:val="6CA0320D"/>
    <w:rsid w:val="6CCD33CB"/>
    <w:rsid w:val="6D6A2713"/>
    <w:rsid w:val="7435021D"/>
    <w:rsid w:val="75723201"/>
    <w:rsid w:val="75782391"/>
    <w:rsid w:val="76FDB3CE"/>
    <w:rsid w:val="7ABBD97E"/>
    <w:rsid w:val="7B9D2D4B"/>
    <w:rsid w:val="7C5638B1"/>
    <w:rsid w:val="A77AE112"/>
    <w:rsid w:val="B8FE9208"/>
    <w:rsid w:val="BBC77F57"/>
    <w:rsid w:val="CFBF454F"/>
    <w:rsid w:val="DAA8E09F"/>
    <w:rsid w:val="DFDB9C55"/>
    <w:rsid w:val="FE5F2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ind w:firstLine="200" w:firstLineChars="200"/>
      <w:jc w:val="both"/>
    </w:pPr>
    <w:rPr>
      <w:rFonts w:ascii="Calibri" w:hAnsi="Calibri" w:eastAsia="宋体" w:cs="Times New Roman"/>
      <w:kern w:val="2"/>
      <w:sz w:val="21"/>
      <w:szCs w:val="24"/>
      <w:lang w:eastAsia="zh-CN"/>
    </w:rPr>
  </w:style>
  <w:style w:type="paragraph" w:styleId="3">
    <w:name w:val="Body Text"/>
    <w:basedOn w:val="1"/>
    <w:qFormat/>
    <w:uiPriority w:val="0"/>
    <w:pPr>
      <w:ind w:left="220"/>
    </w:pPr>
    <w:rPr>
      <w:rFonts w:ascii="宋体" w:hAnsi="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NormalCharacter"/>
    <w:qFormat/>
    <w:uiPriority w:val="0"/>
    <w:rPr>
      <w:rFonts w:ascii="Times New Roman" w:hAnsi="Times New Roman" w:eastAsia="宋体"/>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1373</Words>
  <Characters>1441</Characters>
  <Lines>0</Lines>
  <Paragraphs>0</Paragraphs>
  <TotalTime>14</TotalTime>
  <ScaleCrop>false</ScaleCrop>
  <LinksUpToDate>false</LinksUpToDate>
  <CharactersWithSpaces>1503</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2021-10-22T14:38:00Z</dcterms:created>
  <dc:creator>詹德忠/fjfda</dc:creator>
  <cp:lastModifiedBy>占德忠</cp:lastModifiedBy>
  <cp:lastPrinted>2025-07-29T11:16:00Z</cp:lastPrinted>
  <dcterms:modified xsi:type="dcterms:W3CDTF">2026-08-24T17:36:56Z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74281CA161B44D7B8630A1555673DAA1</vt:lpwstr>
  </property>
  <property fmtid="{D5CDD505-2E9C-101B-9397-08002B2CF9AE}" pid="4" name="KSOTemplateDocerSaveRecord">
    <vt:lpwstr>eyJoZGlkIjoiZTMwZDdlNTJkNDdhYzRlNGJjMWUxZjliNTE4YTM2ODYiLCJ1c2VySWQiOiI1ODk4NzM5NTQifQ==</vt:lpwstr>
  </property>
</Properties>
</file>