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300" w:line="360" w:lineRule="atLeast"/>
        <w:jc w:val="center"/>
        <w:rPr>
          <w:rFonts w:ascii="微软雅黑" w:hAnsi="微软雅黑" w:eastAsia="微软雅黑" w:cs="微软雅黑"/>
          <w:color w:val="000000"/>
          <w:sz w:val="24"/>
        </w:rPr>
      </w:pPr>
      <w:r>
        <w:rPr>
          <w:rFonts w:hint="eastAsia" w:ascii="微软雅黑" w:hAnsi="微软雅黑" w:eastAsia="微软雅黑" w:cs="微软雅黑"/>
          <w:color w:val="000000"/>
          <w:kern w:val="0"/>
          <w:sz w:val="24"/>
          <w:shd w:val="clear" w:color="auto" w:fill="FFFFFF"/>
          <w:lang w:eastAsia="zh-CN" w:bidi="ar"/>
        </w:rPr>
        <w:t>福建省药品监督管理局</w:t>
      </w:r>
      <w:r>
        <w:rPr>
          <w:rFonts w:hint="eastAsia" w:ascii="微软雅黑" w:hAnsi="微软雅黑" w:eastAsia="微软雅黑" w:cs="微软雅黑"/>
          <w:color w:val="000000"/>
          <w:kern w:val="0"/>
          <w:sz w:val="24"/>
          <w:shd w:val="clear" w:color="auto" w:fill="FFFFFF"/>
          <w:lang w:bidi="ar"/>
        </w:rPr>
        <w:t>行政处罚信息公开表</w:t>
      </w:r>
    </w:p>
    <w:tbl>
      <w:tblPr>
        <w:tblStyle w:val="6"/>
        <w:tblW w:w="14595" w:type="dxa"/>
        <w:tblInd w:w="0" w:type="dxa"/>
        <w:tblLayout w:type="fixed"/>
        <w:tblCellMar>
          <w:top w:w="0" w:type="dxa"/>
          <w:left w:w="0" w:type="dxa"/>
          <w:bottom w:w="0" w:type="dxa"/>
          <w:right w:w="0" w:type="dxa"/>
        </w:tblCellMar>
      </w:tblPr>
      <w:tblGrid>
        <w:gridCol w:w="290"/>
        <w:gridCol w:w="889"/>
        <w:gridCol w:w="616"/>
        <w:gridCol w:w="1095"/>
        <w:gridCol w:w="1745"/>
        <w:gridCol w:w="977"/>
        <w:gridCol w:w="2587"/>
        <w:gridCol w:w="2557"/>
        <w:gridCol w:w="1914"/>
        <w:gridCol w:w="1024"/>
        <w:gridCol w:w="901"/>
      </w:tblGrid>
      <w:tr>
        <w:tblPrEx>
          <w:tblCellMar>
            <w:top w:w="0" w:type="dxa"/>
            <w:left w:w="0" w:type="dxa"/>
            <w:bottom w:w="0" w:type="dxa"/>
            <w:right w:w="0" w:type="dxa"/>
          </w:tblCellMar>
        </w:tblPrEx>
        <w:trPr>
          <w:trHeight w:val="1223" w:hRule="atLeast"/>
        </w:trPr>
        <w:tc>
          <w:tcPr>
            <w:tcW w:w="2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atLeas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序号</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行政处罚决定书文号</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案件名称</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违法企业名称或违法自然人姓名</w:t>
            </w:r>
          </w:p>
        </w:tc>
        <w:tc>
          <w:tcPr>
            <w:tcW w:w="1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违法企业社会信用代码</w:t>
            </w:r>
          </w:p>
        </w:tc>
        <w:tc>
          <w:tcPr>
            <w:tcW w:w="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法定代表人姓名</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主要违法事实</w:t>
            </w:r>
          </w:p>
        </w:tc>
        <w:tc>
          <w:tcPr>
            <w:tcW w:w="2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行政处罚的种类和依据</w:t>
            </w:r>
          </w:p>
        </w:tc>
        <w:tc>
          <w:tcPr>
            <w:tcW w:w="19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行政处罚的履行方式和期限</w:t>
            </w:r>
          </w:p>
        </w:tc>
        <w:tc>
          <w:tcPr>
            <w:tcW w:w="10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做出处罚的机关名称和日期</w:t>
            </w:r>
          </w:p>
        </w:tc>
        <w:tc>
          <w:tcPr>
            <w:tcW w:w="9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备注</w:t>
            </w:r>
          </w:p>
        </w:tc>
      </w:tr>
      <w:tr>
        <w:tblPrEx>
          <w:tblCellMar>
            <w:top w:w="0" w:type="dxa"/>
            <w:left w:w="0" w:type="dxa"/>
            <w:bottom w:w="0" w:type="dxa"/>
            <w:right w:w="0" w:type="dxa"/>
          </w:tblCellMar>
        </w:tblPrEx>
        <w:trPr>
          <w:trHeight w:val="492" w:hRule="atLeast"/>
        </w:trPr>
        <w:tc>
          <w:tcPr>
            <w:tcW w:w="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CESI宋体-GB2312" w:hAnsi="CESI宋体-GB2312" w:eastAsia="CESI宋体-GB2312" w:cs="CESI宋体-GB2312"/>
                <w:i w:val="0"/>
                <w:color w:val="000000"/>
                <w:kern w:val="0"/>
                <w:sz w:val="24"/>
                <w:szCs w:val="24"/>
                <w:lang w:val="en-US" w:eastAsia="zh-CN" w:bidi="ar"/>
              </w:rPr>
            </w:pPr>
            <w:r>
              <w:rPr>
                <w:rFonts w:hint="eastAsia" w:ascii="CESI宋体-GB2312" w:hAnsi="CESI宋体-GB2312" w:eastAsia="CESI宋体-GB2312" w:cs="CESI宋体-GB2312"/>
                <w:i w:val="0"/>
                <w:color w:val="000000"/>
                <w:kern w:val="0"/>
                <w:sz w:val="24"/>
                <w:szCs w:val="24"/>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auto"/>
                <w:kern w:val="0"/>
                <w:sz w:val="24"/>
                <w:szCs w:val="24"/>
                <w:lang w:val="en-US" w:eastAsia="zh-CN" w:bidi="ar"/>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auto"/>
                <w:kern w:val="0"/>
                <w:sz w:val="24"/>
                <w:szCs w:val="24"/>
                <w:lang w:val="en-US" w:eastAsia="zh-CN" w:bidi="ar"/>
              </w:rPr>
            </w:pPr>
            <w:r>
              <w:rPr>
                <w:rFonts w:hint="eastAsia" w:ascii="CESI宋体-GB2312" w:hAnsi="CESI宋体-GB2312" w:eastAsia="CESI宋体-GB2312" w:cs="CESI宋体-GB2312"/>
                <w:i w:val="0"/>
                <w:color w:val="auto"/>
                <w:kern w:val="0"/>
                <w:sz w:val="24"/>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20802600</wp:posOffset>
                      </wp:positionV>
                      <wp:extent cx="5761990" cy="1270"/>
                      <wp:effectExtent l="9525" t="9525" r="19685" b="17780"/>
                      <wp:wrapNone/>
                      <wp:docPr id="10" name="直接箭头连接符 10"/>
                      <wp:cNvGraphicFramePr/>
                      <a:graphic xmlns:a="http://schemas.openxmlformats.org/drawingml/2006/main">
                        <a:graphicData uri="http://schemas.microsoft.com/office/word/2010/wordprocessingShape">
                          <wps:wsp>
                            <wps:cNvCnPr/>
                            <wps:spPr>
                              <a:xfrm>
                                <a:off x="0" y="0"/>
                                <a:ext cx="5761990" cy="1270"/>
                              </a:xfrm>
                              <a:prstGeom prst="straightConnector1">
                                <a:avLst/>
                              </a:prstGeom>
                              <a:ln w="19050" cap="sq"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pt;margin-top:1638pt;height:0.1pt;width:453.7pt;z-index:251659264;mso-width-relative:page;mso-height-relative:page;" filled="f" stroked="t" coordsize="21600,21600" o:gfxdata="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Xiia2gAAAAsBAAAPAAAAAAAAAAEAIAAAACIAAABk&#10;cnMvZG93bnJldi54bWxQSwECFAAUAAAACACHTuJA5sQT9gQCAAD+AwAADgAAAAAAAAABACAAAAAp&#10;AQAAZHJzL2Uyb0RvYy54bWxQSwUGAAAAAAYABgBZAQAAnwUAAAAA&#10;">
                      <v:fill on="f" focussize="0,0"/>
                      <v:stroke weight="1.5pt" color="#000000" joinstyle="round" endcap="square"/>
                      <v:imagedata o:title=""/>
                      <o:lock v:ext="edit" aspectratio="f"/>
                    </v:shape>
                  </w:pict>
                </mc:Fallback>
              </mc:AlternateContent>
            </w:r>
            <w:r>
              <w:rPr>
                <w:rFonts w:hint="eastAsia" w:ascii="CESI宋体-GB2312" w:hAnsi="CESI宋体-GB2312" w:eastAsia="CESI宋体-GB2312" w:cs="CESI宋体-GB2312"/>
                <w:i w:val="0"/>
                <w:color w:val="auto"/>
                <w:kern w:val="0"/>
                <w:sz w:val="24"/>
                <w:szCs w:val="24"/>
                <w:lang w:val="en-US" w:eastAsia="zh-CN" w:bidi="ar"/>
              </w:rPr>
              <w:t>闽药监榕稽办处罚〔2025〕11号</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sz w:val="24"/>
                <w:szCs w:val="24"/>
                <w:u w:val="none"/>
                <w:lang w:val="en-US" w:eastAsia="zh-CN" w:bidi="ar-SA"/>
              </w:rPr>
            </w:pPr>
            <w:r>
              <w:rPr>
                <w:rFonts w:hint="eastAsia" w:ascii="CESI仿宋-GB2312" w:hAnsi="CESI仿宋-GB2312" w:eastAsia="CESI仿宋-GB2312" w:cs="CESI仿宋-GB2312"/>
                <w:color w:val="00000A"/>
                <w:kern w:val="2"/>
                <w:sz w:val="24"/>
                <w:szCs w:val="24"/>
                <w:lang w:val="en-US" w:eastAsia="zh-CN" w:bidi="ar-SA"/>
              </w:rPr>
              <w:t>福建省韩廷集团有限公司向超出诊疗范围的使用单位销售药品案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r>
              <w:rPr>
                <w:rFonts w:hint="eastAsia" w:ascii="CESI仿宋-GB2312" w:hAnsi="CESI仿宋-GB2312" w:eastAsia="CESI仿宋-GB2312" w:cs="CESI仿宋-GB2312"/>
                <w:color w:val="00000A"/>
                <w:kern w:val="2"/>
                <w:sz w:val="24"/>
                <w:szCs w:val="24"/>
                <w:lang w:val="en-US" w:eastAsia="zh-CN" w:bidi="ar-SA"/>
              </w:rPr>
              <w:t>福建省韩廷集团有限公司</w:t>
            </w: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center"/>
              <w:rPr>
                <w:rFonts w:hint="eastAsia" w:ascii="CESI仿宋-GB2312" w:hAnsi="CESI仿宋-GB2312" w:eastAsia="CESI仿宋-GB2312" w:cs="CESI仿宋-GB2312"/>
                <w:color w:val="00000A"/>
                <w:kern w:val="2"/>
                <w:sz w:val="24"/>
                <w:szCs w:val="24"/>
                <w:lang w:val="en-US" w:eastAsia="zh-CN" w:bidi="ar-SA"/>
              </w:rPr>
            </w:pP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r>
              <w:rPr>
                <w:rFonts w:hint="eastAsia" w:ascii="CESI仿宋-GB2312" w:hAnsi="CESI仿宋-GB2312" w:eastAsia="CESI仿宋-GB2312" w:cs="CESI仿宋-GB2312"/>
                <w:color w:val="00000A"/>
                <w:kern w:val="2"/>
                <w:sz w:val="24"/>
                <w:szCs w:val="24"/>
                <w:lang w:val="en-US" w:eastAsia="zh-CN" w:bidi="ar-SA"/>
              </w:rPr>
              <w:t>91350100782150117K</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i w:val="0"/>
                <w:caps w:val="0"/>
                <w:color w:val="00000A"/>
                <w:spacing w:val="0"/>
                <w:sz w:val="24"/>
                <w:szCs w:val="24"/>
                <w:shd w:val="clear"/>
                <w:lang w:val="en-US" w:eastAsia="zh-CN" w:bidi="ar-SA"/>
              </w:rPr>
            </w:pPr>
            <w:r>
              <w:rPr>
                <w:rFonts w:hint="eastAsia" w:ascii="CESI仿宋-GB2312" w:hAnsi="CESI仿宋-GB2312" w:eastAsia="CESI仿宋-GB2312" w:cs="CESI仿宋-GB2312"/>
                <w:i w:val="0"/>
                <w:caps w:val="0"/>
                <w:color w:val="00000A"/>
                <w:spacing w:val="0"/>
                <w:sz w:val="24"/>
                <w:szCs w:val="24"/>
                <w:shd w:val="clear"/>
                <w:lang w:val="en-US" w:eastAsia="zh-CN" w:bidi="ar-SA"/>
              </w:rPr>
              <w:t>黄国林</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center"/>
              <w:rPr>
                <w:rFonts w:hint="eastAsia" w:ascii="CESI仿宋-GB2312" w:hAnsi="CESI仿宋-GB2312" w:eastAsia="CESI仿宋-GB2312" w:cs="CESI仿宋-GB2312"/>
                <w:color w:val="00000A"/>
                <w:kern w:val="2"/>
                <w:sz w:val="24"/>
                <w:szCs w:val="24"/>
                <w:lang w:val="en-US" w:eastAsia="zh-CN" w:bidi="ar-SA"/>
              </w:rPr>
            </w:pPr>
            <w:r>
              <w:rPr>
                <w:rFonts w:hint="eastAsia" w:ascii="CESI仿宋-GB2312" w:hAnsi="CESI仿宋-GB2312" w:eastAsia="CESI仿宋-GB2312" w:cs="CESI仿宋-GB2312"/>
                <w:color w:val="00000A"/>
                <w:kern w:val="2"/>
                <w:sz w:val="24"/>
                <w:szCs w:val="24"/>
                <w:lang w:val="en-US" w:eastAsia="zh-CN" w:bidi="ar-SA"/>
              </w:rPr>
              <w:t>经调查，2024年12月3日，当事人以15元/支的价格向如东利群中西医结合诊所销售破伤风抗毒素（标示生产企业：江西生物制品研究所股份有限公司，规格：0.75ml 1500IU/支，批号：P20240101-1）200支，货值金额3000元。经核实，如东利群中西医结合诊所为个体工商户，取得《医疗机构执业业许可证》，系合法医疗机构。当事人向如东利群中西医结合诊所销售上述药品超出了《江苏省</w:t>
            </w:r>
            <w:bookmarkStart w:id="0" w:name="_GoBack"/>
            <w:bookmarkEnd w:id="0"/>
            <w:r>
              <w:rPr>
                <w:rFonts w:hint="eastAsia" w:ascii="CESI仿宋-GB2312" w:hAnsi="CESI仿宋-GB2312" w:eastAsia="CESI仿宋-GB2312" w:cs="CESI仿宋-GB2312"/>
                <w:color w:val="00000A"/>
                <w:kern w:val="2"/>
                <w:sz w:val="24"/>
                <w:szCs w:val="24"/>
                <w:lang w:val="en-US" w:eastAsia="zh-CN" w:bidi="ar-SA"/>
              </w:rPr>
              <w:t>个人设置的门诊部、诊所等医疗机构常用和急救药品目录（2021年修订版）》规定的范围。</w:t>
            </w: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center"/>
              <w:rPr>
                <w:rFonts w:hint="default" w:ascii="CESI宋体-GB2312" w:hAnsi="CESI宋体-GB2312" w:eastAsia="CESI宋体-GB2312" w:cs="CESI宋体-GB2312"/>
                <w:i w:val="0"/>
                <w:color w:val="000000"/>
                <w:kern w:val="0"/>
                <w:sz w:val="24"/>
                <w:szCs w:val="24"/>
                <w:lang w:val="en-US" w:eastAsia="zh-CN" w:bidi="ar"/>
              </w:rPr>
            </w:pPr>
            <w:r>
              <w:rPr>
                <w:rFonts w:hint="eastAsia" w:ascii="CESI仿宋-GB2312" w:hAnsi="CESI仿宋-GB2312" w:eastAsia="CESI仿宋-GB2312" w:cs="CESI仿宋-GB2312"/>
                <w:color w:val="00000A"/>
                <w:kern w:val="2"/>
                <w:sz w:val="24"/>
                <w:szCs w:val="24"/>
                <w:lang w:val="en-US" w:eastAsia="zh-CN" w:bidi="ar-SA"/>
              </w:rPr>
              <w:t xml:space="preserve">当事人向超出诊疗范围的使用单位销售药品的行为，违反了《福建省药品和医疗器械流通监督管理办法》第七条第二款的规定。  </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center"/>
              <w:rPr>
                <w:rFonts w:hint="eastAsia" w:ascii="CESI仿宋-GB2312" w:hAnsi="CESI仿宋-GB2312" w:eastAsia="CESI仿宋-GB2312" w:cs="CESI仿宋-GB2312"/>
                <w:color w:val="00000A"/>
                <w:sz w:val="24"/>
                <w:szCs w:val="24"/>
                <w:u w:val="none"/>
                <w:lang w:val="en-US" w:eastAsia="zh-CN" w:bidi="ar-SA"/>
              </w:rPr>
            </w:pPr>
            <w:r>
              <w:rPr>
                <w:rFonts w:hint="eastAsia" w:ascii="CESI仿宋-GB2312" w:hAnsi="CESI仿宋-GB2312" w:eastAsia="CESI仿宋-GB2312" w:cs="CESI仿宋-GB2312"/>
                <w:color w:val="00000A"/>
                <w:sz w:val="24"/>
                <w:szCs w:val="24"/>
                <w:u w:val="none"/>
                <w:lang w:val="en-US" w:eastAsia="zh-CN" w:bidi="ar-SA"/>
              </w:rPr>
              <w:t>当事人向超出诊疗范围的使用单位销售药品的行为，违反了《福建省药品和医疗器械流通监督管理办法》第七条第二款的规定。依照《行政处罚法》第二十八条第二款、《福建省药品和医疗器械流通监督管理办法》第三十七条的规定，责令当事人改正违法行为并处罚如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sz w:val="24"/>
                <w:szCs w:val="24"/>
                <w:u w:val="none"/>
                <w:lang w:val="en-US" w:eastAsia="zh-CN" w:bidi="ar-SA"/>
              </w:rPr>
            </w:pPr>
            <w:r>
              <w:rPr>
                <w:rFonts w:hint="eastAsia" w:ascii="CESI仿宋-GB2312" w:hAnsi="CESI仿宋-GB2312" w:eastAsia="CESI仿宋-GB2312" w:cs="CESI仿宋-GB2312"/>
                <w:color w:val="00000A"/>
                <w:sz w:val="24"/>
                <w:szCs w:val="24"/>
                <w:u w:val="none"/>
                <w:lang w:val="en-US" w:eastAsia="zh-CN" w:bidi="ar-SA"/>
              </w:rPr>
              <w:t>1.警告；</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sz w:val="24"/>
                <w:szCs w:val="24"/>
                <w:u w:val="none"/>
                <w:lang w:val="en-US" w:eastAsia="zh-CN" w:bidi="ar-SA"/>
              </w:rPr>
            </w:pPr>
            <w:r>
              <w:rPr>
                <w:rFonts w:hint="eastAsia" w:ascii="CESI仿宋-GB2312" w:hAnsi="CESI仿宋-GB2312" w:eastAsia="CESI仿宋-GB2312" w:cs="CESI仿宋-GB2312"/>
                <w:color w:val="00000A"/>
                <w:sz w:val="24"/>
                <w:szCs w:val="24"/>
                <w:u w:val="none"/>
                <w:lang w:val="en-US" w:eastAsia="zh-CN" w:bidi="ar-SA"/>
              </w:rPr>
              <w:t>2.没收违法所得3000元；</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sz w:val="24"/>
                <w:szCs w:val="24"/>
                <w:u w:val="none"/>
                <w:lang w:val="en-US" w:eastAsia="zh-CN" w:bidi="ar-SA"/>
              </w:rPr>
            </w:pPr>
            <w:r>
              <w:rPr>
                <w:rFonts w:hint="eastAsia" w:ascii="CESI仿宋-GB2312" w:hAnsi="CESI仿宋-GB2312" w:eastAsia="CESI仿宋-GB2312" w:cs="CESI仿宋-GB2312"/>
                <w:color w:val="00000A"/>
                <w:sz w:val="24"/>
                <w:szCs w:val="24"/>
                <w:u w:val="none"/>
                <w:lang w:val="en-US" w:eastAsia="zh-CN" w:bidi="ar-SA"/>
              </w:rPr>
              <w:t>3.罚款2000元。</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sz w:val="24"/>
                <w:szCs w:val="24"/>
                <w:u w:val="none"/>
                <w:lang w:val="en-US" w:eastAsia="zh-CN" w:bidi="ar-SA"/>
              </w:rPr>
            </w:pPr>
            <w:r>
              <w:rPr>
                <w:rFonts w:hint="eastAsia" w:ascii="CESI仿宋-GB2312" w:hAnsi="CESI仿宋-GB2312" w:eastAsia="CESI仿宋-GB2312" w:cs="CESI仿宋-GB2312"/>
                <w:color w:val="00000A"/>
                <w:sz w:val="24"/>
                <w:szCs w:val="24"/>
                <w:u w:val="none"/>
                <w:lang w:val="en-US" w:eastAsia="zh-CN" w:bidi="ar-SA"/>
              </w:rPr>
              <w:t>以上罚没款合计5000元。</w:t>
            </w: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center"/>
              <w:rPr>
                <w:rFonts w:hint="eastAsia" w:ascii="CESI宋体-GB2312" w:hAnsi="CESI宋体-GB2312" w:eastAsia="CESI宋体-GB2312" w:cs="CESI宋体-GB2312"/>
                <w:i w:val="0"/>
                <w:color w:val="000000"/>
                <w:kern w:val="0"/>
                <w:sz w:val="24"/>
                <w:szCs w:val="24"/>
                <w:lang w:val="en-US" w:eastAsia="zh-CN" w:bidi="ar"/>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r>
              <w:rPr>
                <w:rFonts w:hint="eastAsia" w:ascii="CESI仿宋-GB2312" w:hAnsi="CESI仿宋-GB2312" w:eastAsia="CESI仿宋-GB2312" w:cs="CESI仿宋-GB2312"/>
                <w:color w:val="00000A"/>
                <w:kern w:val="2"/>
                <w:sz w:val="24"/>
                <w:szCs w:val="24"/>
                <w:lang w:val="en-US" w:eastAsia="zh-CN" w:bidi="ar-SA"/>
              </w:rPr>
              <w:t>当事人接到本行政处罚决定之日起15日内携福建省药品监督管理局福州药品稽查办公室开具的行政罚没缴款通知书，至各银行网点或者通过电子支付系统缴纳并将缴纳凭证送交我办。到期不缴纳罚款的，依据《中华人民共和国行政处罚法》第七十二条第一款第（一）项的规定，本办将每日按罚款数额的百分之三加处罚款，并依法申请人民法院强制执行。</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仿宋-GB2312" w:hAnsi="CESI仿宋-GB2312" w:eastAsia="CESI仿宋-GB2312" w:cs="CESI仿宋-GB2312"/>
                <w:color w:val="00000A"/>
                <w:kern w:val="2"/>
                <w:sz w:val="24"/>
                <w:szCs w:val="24"/>
                <w:lang w:val="en-US" w:eastAsia="zh-CN" w:bidi="ar-SA"/>
              </w:rPr>
            </w:pPr>
            <w:r>
              <w:rPr>
                <w:rFonts w:hint="eastAsia" w:ascii="CESI仿宋-GB2312" w:hAnsi="CESI仿宋-GB2312" w:eastAsia="CESI仿宋-GB2312" w:cs="CESI仿宋-GB2312"/>
                <w:color w:val="00000A"/>
                <w:kern w:val="2"/>
                <w:sz w:val="24"/>
                <w:szCs w:val="24"/>
                <w:lang w:val="en-US" w:eastAsia="zh-CN" w:bidi="ar-SA"/>
              </w:rPr>
              <w:t>福建省药品监督管理局福州药品稽查办公室，2025年12月29日</w:t>
            </w:r>
          </w:p>
        </w:tc>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2"/>
                <w:szCs w:val="22"/>
                <w:lang w:bidi="ar"/>
              </w:rPr>
            </w:pPr>
          </w:p>
        </w:tc>
      </w:tr>
    </w:tbl>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CESI宋体-GB2312" w:hAnsi="CESI宋体-GB2312" w:eastAsia="CESI宋体-GB2312" w:cs="CESI宋体-GB2312"/>
          <w:i w:val="0"/>
          <w:color w:val="000000"/>
          <w:kern w:val="0"/>
          <w:sz w:val="24"/>
          <w:szCs w:val="24"/>
          <w:lang w:val="en-US" w:eastAsia="zh-CN" w:bidi="ar"/>
        </w:rPr>
        <w:sectPr>
          <w:pgSz w:w="16838" w:h="11906" w:orient="landscape"/>
          <w:pgMar w:top="839" w:right="1440" w:bottom="839" w:left="1270" w:header="851" w:footer="992" w:gutter="0"/>
          <w:cols w:space="0" w:num="1"/>
          <w:rtlGutter w:val="0"/>
          <w:docGrid w:type="lines" w:linePitch="312" w:charSpace="0"/>
        </w:sectPr>
      </w:pPr>
      <w:r>
        <w:rPr>
          <w:rFonts w:hint="eastAsia" w:ascii="CESI宋体-GB2312" w:hAnsi="CESI宋体-GB2312" w:eastAsia="CESI宋体-GB2312" w:cs="CESI宋体-GB2312"/>
          <w:i w:val="0"/>
          <w:color w:val="000000"/>
          <w:kern w:val="0"/>
          <w:sz w:val="24"/>
          <w:szCs w:val="24"/>
          <w:lang w:val="en-US" w:eastAsia="zh-CN" w:bidi="ar"/>
        </w:rPr>
        <w:t>（提示：相关单位或者个人转载或引用药品监管部门公布的信息时，应当遵守《中华人民共和国药品管理法》等法律法规的要求，对有关药品的宣传报道应当全面、科学、客观、公正，否则将依法承当相应责任。如对信息作进一步解读，应</w:t>
      </w:r>
    </w:p>
    <w:p>
      <w:pPr>
        <w:rPr>
          <w:rFonts w:hint="eastAsia" w:ascii="CESI宋体-GB2312" w:hAnsi="CESI宋体-GB2312" w:eastAsia="CESI宋体-GB2312" w:cs="CESI宋体-GB2312"/>
          <w:i w:val="0"/>
          <w:color w:val="000000"/>
          <w:kern w:val="0"/>
          <w:sz w:val="24"/>
          <w:szCs w:val="24"/>
          <w:lang w:val="en-US" w:eastAsia="zh-CN" w:bidi="ar"/>
        </w:rPr>
      </w:pPr>
    </w:p>
    <w:sectPr>
      <w:pgSz w:w="11906" w:h="16838"/>
      <w:pgMar w:top="1440" w:right="839" w:bottom="1270" w:left="83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CESI宋体-GB2312">
    <w:altName w:val="宋体"/>
    <w:panose1 w:val="02000500000000000000"/>
    <w:charset w:val="86"/>
    <w:family w:val="auto"/>
    <w:pitch w:val="default"/>
    <w:sig w:usb0="00000000" w:usb1="00000000" w:usb2="00000010"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C60A5"/>
    <w:rsid w:val="003F173A"/>
    <w:rsid w:val="009E39C7"/>
    <w:rsid w:val="00D93752"/>
    <w:rsid w:val="00EC6659"/>
    <w:rsid w:val="013621DE"/>
    <w:rsid w:val="015D724D"/>
    <w:rsid w:val="02206F22"/>
    <w:rsid w:val="02410259"/>
    <w:rsid w:val="026145CD"/>
    <w:rsid w:val="02DC41F3"/>
    <w:rsid w:val="03031AAE"/>
    <w:rsid w:val="039A75B8"/>
    <w:rsid w:val="04720006"/>
    <w:rsid w:val="04E050C3"/>
    <w:rsid w:val="05E927E7"/>
    <w:rsid w:val="06CE10DF"/>
    <w:rsid w:val="06DF09E6"/>
    <w:rsid w:val="06F94FA0"/>
    <w:rsid w:val="072C0BCD"/>
    <w:rsid w:val="07917978"/>
    <w:rsid w:val="07934CB0"/>
    <w:rsid w:val="08A451D8"/>
    <w:rsid w:val="091D0EB6"/>
    <w:rsid w:val="0A8263CF"/>
    <w:rsid w:val="0AF353F0"/>
    <w:rsid w:val="0AFC60A5"/>
    <w:rsid w:val="0B32336E"/>
    <w:rsid w:val="0BBD46A7"/>
    <w:rsid w:val="0BD27166"/>
    <w:rsid w:val="0C616F42"/>
    <w:rsid w:val="0C7D1938"/>
    <w:rsid w:val="0CF777D7"/>
    <w:rsid w:val="0D016698"/>
    <w:rsid w:val="0D496004"/>
    <w:rsid w:val="0D9D6771"/>
    <w:rsid w:val="0E490328"/>
    <w:rsid w:val="0E5D3919"/>
    <w:rsid w:val="0F312F23"/>
    <w:rsid w:val="0F483127"/>
    <w:rsid w:val="0F636137"/>
    <w:rsid w:val="12CC6E93"/>
    <w:rsid w:val="132F1E02"/>
    <w:rsid w:val="134F7688"/>
    <w:rsid w:val="13C62711"/>
    <w:rsid w:val="156C03C6"/>
    <w:rsid w:val="1575788D"/>
    <w:rsid w:val="15956002"/>
    <w:rsid w:val="169B1894"/>
    <w:rsid w:val="16A67ADA"/>
    <w:rsid w:val="175002B3"/>
    <w:rsid w:val="17780848"/>
    <w:rsid w:val="17ED0162"/>
    <w:rsid w:val="17FF06A1"/>
    <w:rsid w:val="18042591"/>
    <w:rsid w:val="18121B49"/>
    <w:rsid w:val="1AEA7179"/>
    <w:rsid w:val="1C3D1C7A"/>
    <w:rsid w:val="1CAE2EE5"/>
    <w:rsid w:val="1CC47C11"/>
    <w:rsid w:val="1DAF4892"/>
    <w:rsid w:val="1DC70616"/>
    <w:rsid w:val="1E487342"/>
    <w:rsid w:val="1E6C4095"/>
    <w:rsid w:val="1E8E1796"/>
    <w:rsid w:val="1F60634D"/>
    <w:rsid w:val="2072136A"/>
    <w:rsid w:val="20D42391"/>
    <w:rsid w:val="20F25647"/>
    <w:rsid w:val="227076DC"/>
    <w:rsid w:val="22F41E44"/>
    <w:rsid w:val="23484CF1"/>
    <w:rsid w:val="23D423B4"/>
    <w:rsid w:val="2569115D"/>
    <w:rsid w:val="26417654"/>
    <w:rsid w:val="26DF29AC"/>
    <w:rsid w:val="27B3517A"/>
    <w:rsid w:val="28F3492D"/>
    <w:rsid w:val="2A1721F2"/>
    <w:rsid w:val="2C9337B1"/>
    <w:rsid w:val="2CA16103"/>
    <w:rsid w:val="2D7123B7"/>
    <w:rsid w:val="2DE649A3"/>
    <w:rsid w:val="2E5B16E1"/>
    <w:rsid w:val="2ECF18AA"/>
    <w:rsid w:val="2EEB283A"/>
    <w:rsid w:val="2F383184"/>
    <w:rsid w:val="2F57175D"/>
    <w:rsid w:val="2F8548F3"/>
    <w:rsid w:val="30351958"/>
    <w:rsid w:val="30CF358A"/>
    <w:rsid w:val="31AB5C1E"/>
    <w:rsid w:val="32291B02"/>
    <w:rsid w:val="329F0C04"/>
    <w:rsid w:val="33A12315"/>
    <w:rsid w:val="347C71D5"/>
    <w:rsid w:val="34975B1E"/>
    <w:rsid w:val="34A75DA4"/>
    <w:rsid w:val="34CC59A7"/>
    <w:rsid w:val="35283A77"/>
    <w:rsid w:val="35732EAB"/>
    <w:rsid w:val="35A4152E"/>
    <w:rsid w:val="35E525D1"/>
    <w:rsid w:val="3608161B"/>
    <w:rsid w:val="3689596D"/>
    <w:rsid w:val="36BF5CC8"/>
    <w:rsid w:val="388E5FDA"/>
    <w:rsid w:val="395D715A"/>
    <w:rsid w:val="39715F2D"/>
    <w:rsid w:val="39E721C0"/>
    <w:rsid w:val="39F74572"/>
    <w:rsid w:val="3A8E2E37"/>
    <w:rsid w:val="3B5F47C3"/>
    <w:rsid w:val="3D0D111B"/>
    <w:rsid w:val="3DC588B1"/>
    <w:rsid w:val="3DDC2EDA"/>
    <w:rsid w:val="3E39262D"/>
    <w:rsid w:val="3E4A5F63"/>
    <w:rsid w:val="3F4B3DBC"/>
    <w:rsid w:val="400613B4"/>
    <w:rsid w:val="404323A5"/>
    <w:rsid w:val="408D71D7"/>
    <w:rsid w:val="40F9550B"/>
    <w:rsid w:val="426C1B97"/>
    <w:rsid w:val="42743BCB"/>
    <w:rsid w:val="429373A2"/>
    <w:rsid w:val="4344143E"/>
    <w:rsid w:val="43854217"/>
    <w:rsid w:val="438C3243"/>
    <w:rsid w:val="43DFAF0C"/>
    <w:rsid w:val="44F32001"/>
    <w:rsid w:val="45253CF6"/>
    <w:rsid w:val="45646B1F"/>
    <w:rsid w:val="46563F5F"/>
    <w:rsid w:val="46AE1F18"/>
    <w:rsid w:val="46C71020"/>
    <w:rsid w:val="470122F1"/>
    <w:rsid w:val="47177CA0"/>
    <w:rsid w:val="474F196C"/>
    <w:rsid w:val="496D4EDD"/>
    <w:rsid w:val="4ABC573E"/>
    <w:rsid w:val="4B227261"/>
    <w:rsid w:val="4BB927A7"/>
    <w:rsid w:val="4BD87CAD"/>
    <w:rsid w:val="4D494A31"/>
    <w:rsid w:val="4D4E6522"/>
    <w:rsid w:val="4DBF5525"/>
    <w:rsid w:val="4EBF4B5E"/>
    <w:rsid w:val="4FBF2728"/>
    <w:rsid w:val="507A420F"/>
    <w:rsid w:val="511C6458"/>
    <w:rsid w:val="51295856"/>
    <w:rsid w:val="51F1DE26"/>
    <w:rsid w:val="521F1AAF"/>
    <w:rsid w:val="52650555"/>
    <w:rsid w:val="52C16F51"/>
    <w:rsid w:val="53572647"/>
    <w:rsid w:val="537E31B3"/>
    <w:rsid w:val="53CE2445"/>
    <w:rsid w:val="55455002"/>
    <w:rsid w:val="55DB0C7B"/>
    <w:rsid w:val="570D79CA"/>
    <w:rsid w:val="57121CF7"/>
    <w:rsid w:val="58CB7D44"/>
    <w:rsid w:val="58F30A28"/>
    <w:rsid w:val="58FB0EC8"/>
    <w:rsid w:val="5B420A05"/>
    <w:rsid w:val="5B9A5FEA"/>
    <w:rsid w:val="5BBA29DD"/>
    <w:rsid w:val="5C1044D8"/>
    <w:rsid w:val="5DA56F7B"/>
    <w:rsid w:val="5F277E5F"/>
    <w:rsid w:val="5FFFC742"/>
    <w:rsid w:val="600B75EF"/>
    <w:rsid w:val="613B606A"/>
    <w:rsid w:val="62E71FB6"/>
    <w:rsid w:val="635C6039"/>
    <w:rsid w:val="640A5255"/>
    <w:rsid w:val="64145F3B"/>
    <w:rsid w:val="647F73C1"/>
    <w:rsid w:val="64DF3162"/>
    <w:rsid w:val="651779D1"/>
    <w:rsid w:val="65637F91"/>
    <w:rsid w:val="657E78B6"/>
    <w:rsid w:val="6585448E"/>
    <w:rsid w:val="65BD6C42"/>
    <w:rsid w:val="668415F3"/>
    <w:rsid w:val="66DC7FD3"/>
    <w:rsid w:val="672D2D56"/>
    <w:rsid w:val="6A1A7C2A"/>
    <w:rsid w:val="6A9923F2"/>
    <w:rsid w:val="6A9954DA"/>
    <w:rsid w:val="6BBF71E8"/>
    <w:rsid w:val="6CB41594"/>
    <w:rsid w:val="6D0A7F6C"/>
    <w:rsid w:val="6DD25D21"/>
    <w:rsid w:val="6ECF425C"/>
    <w:rsid w:val="6ED574D6"/>
    <w:rsid w:val="6EF5A37C"/>
    <w:rsid w:val="6F9E5A29"/>
    <w:rsid w:val="708E50BE"/>
    <w:rsid w:val="70E44B48"/>
    <w:rsid w:val="719268CD"/>
    <w:rsid w:val="72BE667F"/>
    <w:rsid w:val="73097736"/>
    <w:rsid w:val="73FF8A3D"/>
    <w:rsid w:val="74443F76"/>
    <w:rsid w:val="74C675FD"/>
    <w:rsid w:val="759F6457"/>
    <w:rsid w:val="763450D7"/>
    <w:rsid w:val="77A62510"/>
    <w:rsid w:val="77E33F1F"/>
    <w:rsid w:val="77E97ADB"/>
    <w:rsid w:val="78EF193B"/>
    <w:rsid w:val="79904D8C"/>
    <w:rsid w:val="7AC34CDF"/>
    <w:rsid w:val="7AE509B7"/>
    <w:rsid w:val="7BA83DBE"/>
    <w:rsid w:val="7BF666EA"/>
    <w:rsid w:val="7DFF479F"/>
    <w:rsid w:val="7E227595"/>
    <w:rsid w:val="7E5425C2"/>
    <w:rsid w:val="7E7D3D00"/>
    <w:rsid w:val="7EA16C77"/>
    <w:rsid w:val="7ECB6A2F"/>
    <w:rsid w:val="7FDFB2F0"/>
    <w:rsid w:val="9FC783A5"/>
    <w:rsid w:val="AEBF1FA8"/>
    <w:rsid w:val="AFF0E8CB"/>
    <w:rsid w:val="B3BDD9C4"/>
    <w:rsid w:val="BBFE67FE"/>
    <w:rsid w:val="BD370319"/>
    <w:rsid w:val="BDDF7830"/>
    <w:rsid w:val="BF322E95"/>
    <w:rsid w:val="BFBFACB2"/>
    <w:rsid w:val="BFDF7408"/>
    <w:rsid w:val="C6FE494E"/>
    <w:rsid w:val="CDFE500C"/>
    <w:rsid w:val="D9EF03D0"/>
    <w:rsid w:val="E7578F02"/>
    <w:rsid w:val="EBBE0DC4"/>
    <w:rsid w:val="EEEF6DC9"/>
    <w:rsid w:val="EF7E2317"/>
    <w:rsid w:val="F1FF6B1D"/>
    <w:rsid w:val="F376F626"/>
    <w:rsid w:val="F4F7D640"/>
    <w:rsid w:val="F5E6347A"/>
    <w:rsid w:val="F9FF7982"/>
    <w:rsid w:val="FB8646CE"/>
    <w:rsid w:val="FBA7948B"/>
    <w:rsid w:val="FD74DF39"/>
    <w:rsid w:val="FDF52E52"/>
    <w:rsid w:val="FE15B6A2"/>
    <w:rsid w:val="FE3DF4E2"/>
    <w:rsid w:val="FF6594A2"/>
    <w:rsid w:val="FFCF9A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pPr>
    <w:rPr>
      <w:rFonts w:ascii="仿宋" w:hAnsi="仿宋" w:eastAsia="仿宋"/>
      <w:sz w:val="30"/>
      <w:szCs w:val="30"/>
    </w:rPr>
  </w:style>
  <w:style w:type="paragraph" w:styleId="3">
    <w:name w:val="Body Text"/>
    <w:basedOn w:val="1"/>
    <w:qFormat/>
    <w:uiPriority w:val="0"/>
    <w:pPr>
      <w:ind w:left="220"/>
    </w:pPr>
    <w:rPr>
      <w:rFonts w:ascii="宋体" w:hAnsi="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1323</Words>
  <Characters>1468</Characters>
  <Lines>1</Lines>
  <Paragraphs>1</Paragraphs>
  <TotalTime>0</TotalTime>
  <ScaleCrop>false</ScaleCrop>
  <LinksUpToDate>false</LinksUpToDate>
  <CharactersWithSpaces>1469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2019-11-09T14:53:00Z</dcterms:created>
  <dc:creator>林振顺</dc:creator>
  <cp:lastModifiedBy>邵雨辰</cp:lastModifiedBy>
  <cp:lastPrinted>2020-09-13T10:55:00Z</cp:lastPrinted>
  <dcterms:modified xsi:type="dcterms:W3CDTF">2026-09-04T08:18:54Z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CBF4EA8E24ED4298A9923CAD47691BC2</vt:lpwstr>
  </property>
</Properties>
</file>