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0" w:firstLineChars="0"/>
        <w:jc w:val="center"/>
        <w:textAlignment w:val="auto"/>
        <w:outlineLvl w:val="9"/>
        <w:rPr>
          <w:rFonts w:hint="eastAsia" w:ascii="文泉驿微米黑" w:hAnsi="文泉驿微米黑" w:eastAsia="文泉驿微米黑" w:cs="文泉驿微米黑"/>
          <w:color w:val="000000"/>
          <w:sz w:val="32"/>
          <w:szCs w:val="32"/>
        </w:rPr>
      </w:pPr>
      <w:r>
        <w:rPr>
          <w:rFonts w:hint="eastAsia" w:ascii="文泉驿微米黑" w:hAnsi="文泉驿微米黑" w:eastAsia="文泉驿微米黑" w:cs="文泉驿微米黑"/>
          <w:bCs/>
          <w:color w:val="000000"/>
          <w:sz w:val="44"/>
          <w:szCs w:val="44"/>
          <w:lang w:eastAsia="zh-CN"/>
        </w:rPr>
        <w:t>福建省药品</w:t>
      </w:r>
      <w:r>
        <w:rPr>
          <w:rFonts w:hint="eastAsia" w:ascii="文泉驿微米黑" w:hAnsi="文泉驿微米黑" w:eastAsia="文泉驿微米黑" w:cs="文泉驿微米黑"/>
          <w:bCs/>
          <w:color w:val="000000"/>
          <w:sz w:val="44"/>
          <w:szCs w:val="44"/>
        </w:rPr>
        <w:t>监督管理局</w:t>
      </w:r>
      <w:r>
        <w:rPr>
          <w:rFonts w:hint="eastAsia" w:ascii="文泉驿微米黑" w:hAnsi="文泉驿微米黑" w:eastAsia="文泉驿微米黑" w:cs="文泉驿微米黑"/>
          <w:bCs/>
          <w:color w:val="000000"/>
          <w:sz w:val="44"/>
          <w:szCs w:val="44"/>
          <w:lang w:eastAsia="zh-CN"/>
        </w:rPr>
        <w:t>（</w:t>
      </w:r>
      <w:r>
        <w:rPr>
          <w:rFonts w:hint="eastAsia" w:ascii="文泉驿微米黑" w:hAnsi="文泉驿微米黑" w:eastAsia="文泉驿微米黑" w:cs="文泉驿微米黑"/>
          <w:bCs/>
          <w:color w:val="000000"/>
          <w:sz w:val="36"/>
          <w:szCs w:val="36"/>
          <w:lang w:eastAsia="zh-CN"/>
        </w:rPr>
        <w:t>福州药品稽查办公室</w:t>
      </w:r>
      <w:r>
        <w:rPr>
          <w:rFonts w:hint="eastAsia" w:ascii="文泉驿微米黑" w:hAnsi="文泉驿微米黑" w:eastAsia="文泉驿微米黑" w:cs="文泉驿微米黑"/>
          <w:bCs/>
          <w:color w:val="000000"/>
          <w:sz w:val="44"/>
          <w:szCs w:val="44"/>
          <w:lang w:eastAsia="zh-CN"/>
        </w:rPr>
        <w:t>）</w:t>
      </w:r>
    </w:p>
    <w:p>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0" w:firstLineChars="0"/>
        <w:jc w:val="center"/>
        <w:textAlignment w:val="auto"/>
        <w:outlineLvl w:val="9"/>
        <w:rPr>
          <w:rFonts w:hint="eastAsia" w:ascii="文泉驿微米黑" w:hAnsi="文泉驿微米黑" w:eastAsia="文泉驿微米黑" w:cs="文泉驿微米黑"/>
          <w:bCs/>
          <w:color w:val="000000"/>
          <w:sz w:val="44"/>
          <w:szCs w:val="44"/>
        </w:rPr>
      </w:pPr>
      <w:r>
        <w:rPr>
          <w:rFonts w:hint="eastAsia" w:ascii="文泉驿微米黑" w:hAnsi="文泉驿微米黑" w:eastAsia="文泉驿微米黑" w:cs="文泉驿微米黑"/>
          <w:bCs/>
          <w:color w:val="000000"/>
          <w:sz w:val="44"/>
          <w:szCs w:val="44"/>
        </w:rPr>
        <w:t>行政处罚决定书</w:t>
      </w:r>
    </w:p>
    <w:p>
      <w:pPr>
        <w:keepNext w:val="0"/>
        <w:keepLines w:val="0"/>
        <w:pageBreakBefore w:val="0"/>
        <w:kinsoku/>
        <w:wordWrap/>
        <w:overflowPunct/>
        <w:topLinePunct w:val="0"/>
        <w:autoSpaceDE/>
        <w:autoSpaceDN/>
        <w:bidi w:val="0"/>
        <w:adjustRightInd/>
        <w:spacing w:line="580" w:lineRule="exact"/>
        <w:ind w:right="0" w:rightChars="0"/>
        <w:jc w:val="center"/>
        <w:textAlignment w:val="auto"/>
        <w:rPr>
          <w:rFonts w:hint="eastAsia" w:ascii="CESI仿宋-GB2312" w:hAnsi="CESI仿宋-GB2312" w:eastAsia="CESI仿宋-GB2312" w:cs="CESI仿宋-GB2312"/>
          <w:color w:val="auto"/>
          <w:kern w:val="1"/>
          <w:sz w:val="32"/>
          <w:szCs w:val="32"/>
        </w:rPr>
      </w:pPr>
      <w:r>
        <w:rPr>
          <w:rFonts w:hint="eastAsia" w:ascii="CESI仿宋-GB2312" w:hAnsi="CESI仿宋-GB2312" w:eastAsia="CESI仿宋-GB2312" w:cs="CESI仿宋-GB2312"/>
          <w:color w:val="auto"/>
          <w:kern w:val="1"/>
          <w:sz w:val="32"/>
          <w:szCs w:val="32"/>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20802600</wp:posOffset>
                </wp:positionV>
                <wp:extent cx="5761990" cy="1270"/>
                <wp:effectExtent l="0" t="0" r="0" b="0"/>
                <wp:wrapNone/>
                <wp:docPr id="10" name="直接箭头连接符 10"/>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2pt;margin-top:1638pt;height:0.1pt;width:453.7pt;z-index:251659264;mso-width-relative:page;mso-height-relative:page;" filled="f" stroked="t" coordsize="21600,21600" o:gfxdata="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IteKJraAAAACwEAAA8AAAAAAAAAAQAgAAAAOAAAAGRycy9k&#10;b3ducmV2LnhtbFBLAQIUABQAAAAIAIdO4kAE603c6gEAALADAAAOAAAAAAAAAAEAIAAAAD8BAABk&#10;cnMvZTJvRG9jLnhtbFBLBQYAAAAABgAGAFkBAACbBQAAAAA=&#10;">
                <v:fill on="f" focussize="0,0"/>
                <v:stroke weight="1.5pt" color="#000000" joinstyle="round" endcap="square"/>
                <v:imagedata o:title=""/>
                <o:lock v:ext="edit" aspectratio="f"/>
              </v:shape>
            </w:pict>
          </mc:Fallback>
        </mc:AlternateContent>
      </w:r>
      <w:r>
        <w:rPr>
          <w:rFonts w:hint="eastAsia" w:ascii="CESI仿宋-GB2312" w:hAnsi="CESI仿宋-GB2312" w:eastAsia="CESI仿宋-GB2312" w:cs="CESI仿宋-GB2312"/>
          <w:color w:val="auto"/>
          <w:kern w:val="1"/>
          <w:sz w:val="32"/>
          <w:szCs w:val="32"/>
          <w:lang w:eastAsia="zh-CN"/>
        </w:rPr>
        <w:t>闽药</w:t>
      </w:r>
      <w:r>
        <w:rPr>
          <w:rFonts w:hint="eastAsia" w:ascii="CESI仿宋-GB2312" w:hAnsi="CESI仿宋-GB2312" w:eastAsia="CESI仿宋-GB2312" w:cs="CESI仿宋-GB2312"/>
          <w:color w:val="auto"/>
          <w:kern w:val="1"/>
          <w:sz w:val="32"/>
          <w:szCs w:val="32"/>
        </w:rPr>
        <w:t>监</w:t>
      </w:r>
      <w:r>
        <w:rPr>
          <w:rFonts w:hint="eastAsia" w:ascii="CESI仿宋-GB2312" w:hAnsi="CESI仿宋-GB2312" w:eastAsia="CESI仿宋-GB2312" w:cs="CESI仿宋-GB2312"/>
          <w:color w:val="auto"/>
          <w:kern w:val="1"/>
          <w:sz w:val="32"/>
          <w:szCs w:val="32"/>
          <w:lang w:eastAsia="zh-CN"/>
        </w:rPr>
        <w:t>榕稽办处</w:t>
      </w:r>
      <w:bookmarkStart w:id="0" w:name="_GoBack"/>
      <w:bookmarkEnd w:id="0"/>
      <w:r>
        <w:rPr>
          <w:rFonts w:hint="eastAsia" w:ascii="CESI仿宋-GB2312" w:hAnsi="CESI仿宋-GB2312" w:eastAsia="CESI仿宋-GB2312" w:cs="CESI仿宋-GB2312"/>
          <w:color w:val="auto"/>
          <w:kern w:val="1"/>
          <w:sz w:val="32"/>
          <w:szCs w:val="32"/>
          <w:lang w:eastAsia="zh-CN"/>
        </w:rPr>
        <w:t>罚</w:t>
      </w:r>
      <w:r>
        <w:rPr>
          <w:rFonts w:hint="eastAsia" w:ascii="CESI仿宋-GB2312" w:hAnsi="CESI仿宋-GB2312" w:eastAsia="CESI仿宋-GB2312" w:cs="CESI仿宋-GB2312"/>
          <w:color w:val="auto"/>
          <w:kern w:val="1"/>
          <w:sz w:val="32"/>
          <w:szCs w:val="32"/>
        </w:rPr>
        <w:t>〔</w:t>
      </w:r>
      <w:r>
        <w:rPr>
          <w:rFonts w:hint="eastAsia" w:ascii="CESI仿宋-GB2312" w:hAnsi="CESI仿宋-GB2312" w:eastAsia="CESI仿宋-GB2312" w:cs="CESI仿宋-GB2312"/>
          <w:color w:val="auto"/>
          <w:kern w:val="1"/>
          <w:sz w:val="32"/>
          <w:szCs w:val="32"/>
          <w:lang w:val="en-US" w:eastAsia="zh-CN"/>
        </w:rPr>
        <w:t>2025</w:t>
      </w:r>
      <w:r>
        <w:rPr>
          <w:rFonts w:hint="eastAsia" w:ascii="CESI仿宋-GB2312" w:hAnsi="CESI仿宋-GB2312" w:eastAsia="CESI仿宋-GB2312" w:cs="CESI仿宋-GB2312"/>
          <w:color w:val="auto"/>
          <w:kern w:val="1"/>
          <w:sz w:val="32"/>
          <w:szCs w:val="32"/>
        </w:rPr>
        <w:t>〕</w:t>
      </w:r>
      <w:r>
        <w:rPr>
          <w:rFonts w:hint="eastAsia" w:ascii="CESI仿宋-GB2312" w:hAnsi="CESI仿宋-GB2312" w:eastAsia="CESI仿宋-GB2312" w:cs="CESI仿宋-GB2312"/>
          <w:color w:val="auto"/>
          <w:kern w:val="1"/>
          <w:sz w:val="32"/>
          <w:szCs w:val="32"/>
          <w:lang w:val="en-US" w:eastAsia="zh-CN"/>
        </w:rPr>
        <w:t>7</w:t>
      </w:r>
      <w:r>
        <w:rPr>
          <w:rFonts w:hint="eastAsia" w:ascii="CESI仿宋-GB2312" w:hAnsi="CESI仿宋-GB2312" w:eastAsia="CESI仿宋-GB2312" w:cs="CESI仿宋-GB2312"/>
          <w:color w:val="auto"/>
          <w:kern w:val="1"/>
          <w:sz w:val="32"/>
          <w:szCs w:val="32"/>
        </w:rPr>
        <w:t>号</w:t>
      </w:r>
    </w:p>
    <w:p>
      <w:pPr>
        <w:keepNext w:val="0"/>
        <w:keepLines w:val="0"/>
        <w:pageBreakBefore w:val="0"/>
        <w:kinsoku/>
        <w:wordWrap/>
        <w:overflowPunct/>
        <w:topLinePunct w:val="0"/>
        <w:autoSpaceDE/>
        <w:autoSpaceDN/>
        <w:bidi w:val="0"/>
        <w:adjustRightInd/>
        <w:spacing w:line="580" w:lineRule="exact"/>
        <w:ind w:right="0" w:rightChars="0"/>
        <w:jc w:val="center"/>
        <w:textAlignment w:val="auto"/>
        <w:rPr>
          <w:rFonts w:hint="eastAsia" w:ascii="CESI仿宋-GB2312" w:hAnsi="CESI仿宋-GB2312" w:eastAsia="CESI仿宋-GB2312" w:cs="CESI仿宋-GB2312"/>
          <w:color w:val="auto"/>
          <w:kern w:val="1"/>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CESI仿宋-GB2312" w:hAnsi="CESI仿宋-GB2312" w:eastAsia="CESI仿宋-GB2312" w:cs="CESI仿宋-GB2312"/>
          <w:color w:val="auto"/>
          <w:sz w:val="32"/>
          <w:szCs w:val="32"/>
          <w:u w:val="none"/>
          <w:lang w:val="en-US" w:eastAsia="zh-CN"/>
        </w:rPr>
      </w:pPr>
      <w:r>
        <w:rPr>
          <w:rFonts w:hint="eastAsia" w:ascii="CESI仿宋-GB2312" w:hAnsi="CESI仿宋-GB2312" w:eastAsia="CESI仿宋-GB2312" w:cs="CESI仿宋-GB2312"/>
          <w:kern w:val="1"/>
          <w:sz w:val="32"/>
          <w:szCs w:val="32"/>
          <w:lang w:eastAsia="zh-CN"/>
        </w:rPr>
        <w:t>当事人：</w:t>
      </w:r>
      <w:r>
        <w:rPr>
          <w:rFonts w:hint="eastAsia" w:ascii="CESI仿宋-GB13000" w:hAnsi="CESI仿宋-GB13000" w:eastAsia="CESI仿宋-GB13000" w:cs="CESI仿宋-GB13000"/>
          <w:i w:val="0"/>
          <w:caps w:val="0"/>
          <w:color w:val="auto"/>
          <w:spacing w:val="0"/>
          <w:sz w:val="32"/>
          <w:szCs w:val="32"/>
          <w:shd w:val="clear"/>
          <w:lang w:val="en-US" w:eastAsia="zh-CN" w:bidi="ar-SA"/>
        </w:rPr>
        <w:t>福建新紫金医药有限公司</w:t>
      </w:r>
    </w:p>
    <w:p>
      <w:pPr>
        <w:keepNext w:val="0"/>
        <w:keepLines w:val="0"/>
        <w:pageBreakBefore w:val="0"/>
        <w:kinsoku/>
        <w:wordWrap/>
        <w:overflowPunct/>
        <w:topLinePunct w:val="0"/>
        <w:autoSpaceDE/>
        <w:autoSpaceDN/>
        <w:bidi w:val="0"/>
        <w:adjustRightInd/>
        <w:snapToGrid/>
        <w:spacing w:line="460" w:lineRule="exact"/>
        <w:ind w:left="140" w:right="0" w:rightChars="0" w:hanging="140"/>
        <w:textAlignment w:val="auto"/>
        <w:rPr>
          <w:rFonts w:hint="eastAsia" w:ascii="CESI仿宋-GB2312" w:hAnsi="CESI仿宋-GB2312" w:eastAsia="CESI仿宋-GB2312" w:cs="CESI仿宋-GB2312"/>
          <w:kern w:val="1"/>
          <w:sz w:val="32"/>
          <w:szCs w:val="32"/>
          <w:lang w:eastAsia="zh-CN"/>
        </w:rPr>
      </w:pPr>
      <w:r>
        <w:rPr>
          <w:rFonts w:hint="eastAsia" w:ascii="CESI仿宋-GB2312" w:hAnsi="CESI仿宋-GB2312" w:eastAsia="CESI仿宋-GB2312" w:cs="CESI仿宋-GB2312"/>
          <w:kern w:val="1"/>
          <w:sz w:val="32"/>
          <w:szCs w:val="32"/>
        </w:rPr>
        <w:t>主体资格证照名称：</w:t>
      </w:r>
      <w:r>
        <w:rPr>
          <w:rFonts w:hint="eastAsia" w:ascii="CESI仿宋-GB2312" w:hAnsi="CESI仿宋-GB2312" w:eastAsia="CESI仿宋-GB2312" w:cs="CESI仿宋-GB2312"/>
          <w:kern w:val="1"/>
          <w:sz w:val="32"/>
          <w:szCs w:val="32"/>
          <w:lang w:eastAsia="zh-CN"/>
        </w:rPr>
        <w:t>营业执照</w:t>
      </w:r>
    </w:p>
    <w:p>
      <w:pPr>
        <w:keepNext w:val="0"/>
        <w:keepLines w:val="0"/>
        <w:pageBreakBefore w:val="0"/>
        <w:kinsoku/>
        <w:wordWrap/>
        <w:overflowPunct/>
        <w:topLinePunct w:val="0"/>
        <w:autoSpaceDE/>
        <w:autoSpaceDN/>
        <w:bidi w:val="0"/>
        <w:adjustRightInd/>
        <w:snapToGrid/>
        <w:spacing w:line="460" w:lineRule="exact"/>
        <w:ind w:right="0" w:rightChars="0"/>
        <w:jc w:val="both"/>
        <w:textAlignment w:val="auto"/>
        <w:rPr>
          <w:rFonts w:hint="eastAsia" w:ascii="CESI仿宋-GB2312" w:hAnsi="CESI仿宋-GB2312" w:eastAsia="CESI仿宋-GB2312" w:cs="CESI仿宋-GB2312"/>
          <w:kern w:val="1"/>
          <w:sz w:val="32"/>
          <w:szCs w:val="32"/>
        </w:rPr>
      </w:pPr>
      <w:r>
        <w:rPr>
          <w:rFonts w:hint="eastAsia" w:ascii="CESI仿宋-GB2312" w:hAnsi="CESI仿宋-GB2312" w:eastAsia="CESI仿宋-GB2312" w:cs="CESI仿宋-GB2312"/>
          <w:kern w:val="1"/>
          <w:sz w:val="32"/>
          <w:szCs w:val="32"/>
        </w:rPr>
        <w:t>统一社会信用代码（注册号）</w:t>
      </w:r>
      <w:r>
        <w:rPr>
          <w:rFonts w:hint="eastAsia" w:ascii="CESI仿宋-GB13000" w:hAnsi="CESI仿宋-GB13000" w:eastAsia="CESI仿宋-GB13000" w:cs="CESI仿宋-GB13000"/>
          <w:i w:val="0"/>
          <w:caps w:val="0"/>
          <w:color w:val="auto"/>
          <w:spacing w:val="0"/>
          <w:sz w:val="32"/>
          <w:szCs w:val="32"/>
          <w:shd w:val="clear"/>
          <w:lang w:val="en-US" w:eastAsia="zh-CN" w:bidi="ar-SA"/>
        </w:rPr>
        <w:t>：913501007796362041</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default" w:ascii="CESI仿宋-GB2312" w:hAnsi="CESI仿宋-GB2312" w:eastAsia="CESI仿宋-GB2312" w:cs="CESI仿宋-GB2312"/>
          <w:color w:val="auto"/>
          <w:sz w:val="32"/>
          <w:szCs w:val="32"/>
          <w:lang w:val="en-US"/>
        </w:rPr>
      </w:pPr>
      <w:r>
        <w:rPr>
          <w:rFonts w:hint="eastAsia" w:ascii="CESI仿宋-GB2312" w:hAnsi="CESI仿宋-GB2312" w:eastAsia="CESI仿宋-GB2312" w:cs="CESI仿宋-GB2312"/>
          <w:kern w:val="1"/>
          <w:sz w:val="32"/>
          <w:szCs w:val="32"/>
        </w:rPr>
        <w:t>住所（住址）：</w:t>
      </w:r>
      <w:r>
        <w:rPr>
          <w:rFonts w:hint="eastAsia" w:ascii="CESI仿宋-GB2312" w:hAnsi="CESI仿宋-GB2312" w:eastAsia="CESI仿宋-GB2312" w:cs="CESI仿宋-GB2312"/>
          <w:kern w:val="1"/>
          <w:sz w:val="32"/>
          <w:szCs w:val="32"/>
          <w:lang w:val="en-US" w:eastAsia="zh-CN"/>
        </w:rPr>
        <w:t>福建省福州市闽侯县南屿镇南井村白漫溪路103号办公楼一层</w:t>
      </w:r>
    </w:p>
    <w:p>
      <w:pPr>
        <w:keepNext w:val="0"/>
        <w:keepLines w:val="0"/>
        <w:pageBreakBefore w:val="0"/>
        <w:kinsoku/>
        <w:wordWrap/>
        <w:overflowPunct/>
        <w:topLinePunct w:val="0"/>
        <w:autoSpaceDE/>
        <w:autoSpaceDN/>
        <w:bidi w:val="0"/>
        <w:adjustRightInd/>
        <w:snapToGrid/>
        <w:spacing w:line="460" w:lineRule="exact"/>
        <w:ind w:left="140" w:right="0" w:rightChars="0" w:hanging="140"/>
        <w:jc w:val="both"/>
        <w:textAlignment w:val="auto"/>
        <w:rPr>
          <w:rFonts w:hint="default" w:ascii="CESI仿宋-GB2312" w:hAnsi="CESI仿宋-GB2312" w:eastAsia="CESI仿宋-GB2312" w:cs="CESI仿宋-GB2312"/>
          <w:color w:val="auto"/>
          <w:kern w:val="1"/>
          <w:sz w:val="32"/>
          <w:szCs w:val="32"/>
          <w:lang w:val="en-US" w:eastAsia="zh-CN"/>
        </w:rPr>
      </w:pPr>
      <w:r>
        <w:rPr>
          <w:rFonts w:hint="eastAsia" w:ascii="CESI仿宋-GB2312" w:hAnsi="CESI仿宋-GB2312" w:eastAsia="CESI仿宋-GB2312" w:cs="CESI仿宋-GB2312"/>
          <w:color w:val="auto"/>
          <w:kern w:val="1"/>
          <w:sz w:val="32"/>
          <w:szCs w:val="32"/>
        </w:rPr>
        <w:t>法定代表人（负责人、经营者）：</w:t>
      </w:r>
      <w:r>
        <w:rPr>
          <w:rFonts w:hint="eastAsia" w:ascii="CESI仿宋-GB13000" w:hAnsi="CESI仿宋-GB13000" w:eastAsia="CESI仿宋-GB13000" w:cs="CESI仿宋-GB13000"/>
          <w:color w:val="auto"/>
          <w:sz w:val="32"/>
          <w:szCs w:val="32"/>
          <w:lang w:val="en-US" w:eastAsia="zh-CN"/>
        </w:rPr>
        <w:t>王*</w:t>
      </w:r>
    </w:p>
    <w:p>
      <w:pPr>
        <w:keepNext w:val="0"/>
        <w:keepLines w:val="0"/>
        <w:pageBreakBefore w:val="0"/>
        <w:kinsoku/>
        <w:wordWrap/>
        <w:overflowPunct/>
        <w:topLinePunct w:val="0"/>
        <w:autoSpaceDE/>
        <w:autoSpaceDN/>
        <w:bidi w:val="0"/>
        <w:adjustRightInd/>
        <w:snapToGrid/>
        <w:spacing w:line="460" w:lineRule="exact"/>
        <w:ind w:right="0" w:rightChars="0"/>
        <w:jc w:val="both"/>
        <w:textAlignment w:val="auto"/>
        <w:rPr>
          <w:rFonts w:hint="default" w:ascii="CESI仿宋-GB2312" w:hAnsi="CESI仿宋-GB2312" w:eastAsia="CESI仿宋-GB2312" w:cs="CESI仿宋-GB2312"/>
          <w:color w:val="FF0000"/>
          <w:kern w:val="1"/>
          <w:sz w:val="32"/>
          <w:szCs w:val="32"/>
          <w:lang w:val="en-US" w:eastAsia="zh-CN"/>
        </w:rPr>
      </w:pPr>
      <w:r>
        <w:rPr>
          <w:rFonts w:hint="eastAsia" w:ascii="CESI仿宋-GB2312" w:hAnsi="CESI仿宋-GB2312" w:eastAsia="CESI仿宋-GB2312" w:cs="CESI仿宋-GB2312"/>
          <w:color w:val="auto"/>
          <w:kern w:val="1"/>
          <w:sz w:val="32"/>
          <w:szCs w:val="32"/>
        </w:rPr>
        <w:t>身份证（其他有效证件）</w:t>
      </w:r>
      <w:r>
        <w:rPr>
          <w:rFonts w:hint="eastAsia" w:ascii="CESI仿宋-GB13000" w:hAnsi="CESI仿宋-GB13000" w:eastAsia="CESI仿宋-GB13000" w:cs="CESI仿宋-GB13000"/>
          <w:color w:val="auto"/>
          <w:sz w:val="32"/>
          <w:szCs w:val="32"/>
          <w:lang w:eastAsia="zh-CN"/>
        </w:rPr>
        <w:t>号码：</w:t>
      </w:r>
      <w:r>
        <w:rPr>
          <w:rFonts w:hint="eastAsia" w:ascii="CESI仿宋-GB13000" w:hAnsi="CESI仿宋-GB13000" w:eastAsia="CESI仿宋-GB13000" w:cs="CESI仿宋-GB13000"/>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460" w:lineRule="exact"/>
        <w:ind w:right="0" w:rightChars="0"/>
        <w:jc w:val="both"/>
        <w:textAlignment w:val="auto"/>
        <w:rPr>
          <w:rFonts w:hint="default" w:ascii="CESI仿宋-GB2312" w:hAnsi="CESI仿宋-GB2312" w:eastAsia="CESI仿宋-GB2312" w:cs="CESI仿宋-GB2312"/>
          <w:kern w:val="1"/>
          <w:sz w:val="32"/>
          <w:szCs w:val="32"/>
          <w:lang w:val="en-US" w:eastAsia="zh-CN"/>
        </w:rPr>
      </w:pPr>
      <w:r>
        <w:rPr>
          <w:rFonts w:hint="eastAsia" w:ascii="CESI仿宋-GB2312" w:hAnsi="CESI仿宋-GB2312" w:eastAsia="CESI仿宋-GB2312" w:cs="CESI仿宋-GB2312"/>
          <w:kern w:val="1"/>
          <w:sz w:val="32"/>
          <w:szCs w:val="32"/>
        </w:rPr>
        <w:t>联系电话：</w:t>
      </w:r>
      <w:r>
        <w:rPr>
          <w:rFonts w:hint="eastAsia" w:ascii="CESI仿宋-GB13000" w:hAnsi="CESI仿宋-GB13000" w:eastAsia="CESI仿宋-GB13000" w:cs="CESI仿宋-GB13000"/>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460" w:lineRule="exact"/>
        <w:ind w:right="0" w:rightChars="0"/>
        <w:jc w:val="both"/>
        <w:textAlignment w:val="auto"/>
        <w:rPr>
          <w:rFonts w:hint="default" w:ascii="CESI仿宋-GB2312" w:hAnsi="CESI仿宋-GB2312" w:eastAsia="CESI仿宋-GB2312" w:cs="CESI仿宋-GB2312"/>
          <w:color w:val="auto"/>
          <w:kern w:val="1"/>
          <w:sz w:val="32"/>
          <w:szCs w:val="32"/>
          <w:lang w:val="en-US" w:eastAsia="zh-CN"/>
        </w:rPr>
      </w:pPr>
      <w:r>
        <w:rPr>
          <w:rFonts w:hint="eastAsia" w:ascii="CESI仿宋-GB2312" w:hAnsi="CESI仿宋-GB2312" w:eastAsia="CESI仿宋-GB2312" w:cs="CESI仿宋-GB2312"/>
          <w:color w:val="auto"/>
          <w:kern w:val="1"/>
          <w:sz w:val="32"/>
          <w:szCs w:val="32"/>
        </w:rPr>
        <w:t>联系地址：</w:t>
      </w:r>
      <w:r>
        <w:rPr>
          <w:rFonts w:hint="eastAsia" w:ascii="CESI仿宋-GB13000" w:hAnsi="CESI仿宋-GB13000" w:eastAsia="CESI仿宋-GB13000" w:cs="CESI仿宋-GB1300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640" w:firstLineChars="200"/>
        <w:jc w:val="both"/>
        <w:textAlignment w:val="auto"/>
        <w:rPr>
          <w:rFonts w:hint="eastAsia" w:ascii="CESI仿宋-GB13000" w:hAnsi="CESI仿宋-GB13000" w:eastAsia="CESI仿宋-GB13000" w:cs="CESI仿宋-GB13000"/>
          <w:color w:val="00000A"/>
          <w:sz w:val="32"/>
          <w:szCs w:val="32"/>
          <w:u w:val="none"/>
          <w:lang w:val="en-US" w:eastAsia="zh-CN"/>
        </w:rPr>
      </w:pPr>
      <w:r>
        <w:rPr>
          <w:rFonts w:hint="eastAsia" w:ascii="CESI仿宋-GB13000" w:hAnsi="CESI仿宋-GB13000" w:eastAsia="CESI仿宋-GB13000" w:cs="CESI仿宋-GB13000"/>
          <w:sz w:val="32"/>
          <w:szCs w:val="32"/>
          <w:lang w:eastAsia="zh-CN"/>
        </w:rPr>
        <w:t>经</w:t>
      </w:r>
      <w:r>
        <w:rPr>
          <w:rFonts w:hint="eastAsia" w:ascii="CESI仿宋-GB13000" w:hAnsi="CESI仿宋-GB13000" w:eastAsia="CESI仿宋-GB13000" w:cs="CESI仿宋-GB13000"/>
          <w:color w:val="auto"/>
          <w:sz w:val="32"/>
          <w:szCs w:val="32"/>
          <w:lang w:eastAsia="zh-CN"/>
        </w:rPr>
        <w:t>调查，</w:t>
      </w:r>
      <w:r>
        <w:rPr>
          <w:rFonts w:hint="eastAsia" w:ascii="CESI仿宋-GB2312" w:hAnsi="CESI仿宋-GB2312" w:eastAsia="CESI仿宋-GB2312" w:cs="CESI仿宋-GB2312"/>
          <w:sz w:val="32"/>
          <w:szCs w:val="32"/>
          <w:lang w:eastAsia="zh-CN" w:bidi="ar"/>
        </w:rPr>
        <w:t>当事人</w:t>
      </w:r>
      <w:r>
        <w:rPr>
          <w:rFonts w:hint="eastAsia" w:ascii="CESI仿宋-GB13000" w:hAnsi="CESI仿宋-GB13000" w:eastAsia="CESI仿宋-GB13000" w:cs="CESI仿宋-GB13000"/>
          <w:color w:val="auto"/>
          <w:sz w:val="32"/>
          <w:szCs w:val="32"/>
          <w:lang w:val="en-US" w:eastAsia="zh-CN"/>
        </w:rPr>
        <w:t>销售的劣药</w:t>
      </w:r>
      <w:r>
        <w:rPr>
          <w:rFonts w:hint="eastAsia" w:ascii="CESI仿宋-GB13000" w:hAnsi="CESI仿宋-GB13000" w:eastAsia="CESI仿宋-GB13000" w:cs="CESI仿宋-GB13000"/>
          <w:i w:val="0"/>
          <w:caps w:val="0"/>
          <w:color w:val="00000A"/>
          <w:spacing w:val="0"/>
          <w:sz w:val="32"/>
          <w:szCs w:val="32"/>
          <w:shd w:val="clear" w:color="auto" w:fill="auto"/>
          <w:lang w:val="en-US" w:eastAsia="zh-CN" w:bidi="ar-SA"/>
        </w:rPr>
        <w:t>芡实</w:t>
      </w:r>
      <w:r>
        <w:rPr>
          <w:rFonts w:hint="eastAsia" w:ascii="CESI仿宋-GB13000" w:hAnsi="CESI仿宋-GB13000" w:eastAsia="CESI仿宋-GB13000" w:cs="CESI仿宋-GB13000"/>
          <w:color w:val="auto"/>
          <w:sz w:val="32"/>
          <w:szCs w:val="32"/>
          <w:lang w:val="en-US" w:eastAsia="zh-CN"/>
        </w:rPr>
        <w:t>（</w:t>
      </w:r>
      <w:r>
        <w:rPr>
          <w:rFonts w:hint="eastAsia" w:ascii="CESI仿宋-GB13000" w:hAnsi="CESI仿宋-GB13000" w:eastAsia="CESI仿宋-GB13000" w:cs="CESI仿宋-GB13000"/>
          <w:sz w:val="32"/>
          <w:szCs w:val="32"/>
          <w:lang w:val="en-US" w:eastAsia="zh-CN"/>
        </w:rPr>
        <w:t>标示生产企业：安徽华医堂药业股份有限公司，规格：250克，批号：240901</w:t>
      </w:r>
      <w:r>
        <w:rPr>
          <w:rFonts w:hint="eastAsia" w:ascii="CESI仿宋-GB13000" w:hAnsi="CESI仿宋-GB13000" w:eastAsia="CESI仿宋-GB13000" w:cs="CESI仿宋-GB13000"/>
          <w:color w:val="00000A"/>
          <w:sz w:val="32"/>
          <w:szCs w:val="32"/>
          <w:lang w:val="en-US" w:eastAsia="zh-CN"/>
        </w:rPr>
        <w:t>）</w:t>
      </w:r>
      <w:r>
        <w:rPr>
          <w:rFonts w:hint="eastAsia" w:ascii="CESI仿宋-GB13000" w:hAnsi="CESI仿宋-GB13000" w:eastAsia="CESI仿宋-GB13000" w:cs="CESI仿宋-GB13000"/>
          <w:sz w:val="32"/>
          <w:szCs w:val="32"/>
          <w:lang w:val="en-US" w:eastAsia="zh-CN"/>
        </w:rPr>
        <w:t>经莆田市食品药品检验检测中心检验和福建省食品药品质量检验研究院复验，</w:t>
      </w:r>
      <w:r>
        <w:rPr>
          <w:rFonts w:hint="eastAsia" w:ascii="CESI仿宋-GB13000" w:hAnsi="CESI仿宋-GB13000" w:eastAsia="CESI仿宋-GB13000" w:cs="CESI仿宋-GB13000"/>
          <w:sz w:val="32"/>
          <w:szCs w:val="32"/>
        </w:rPr>
        <w:t>【</w:t>
      </w:r>
      <w:r>
        <w:rPr>
          <w:rFonts w:hint="eastAsia" w:ascii="CESI仿宋-GB13000" w:hAnsi="CESI仿宋-GB13000" w:eastAsia="CESI仿宋-GB13000" w:cs="CESI仿宋-GB13000"/>
          <w:sz w:val="32"/>
          <w:szCs w:val="32"/>
          <w:lang w:val="en-US" w:eastAsia="zh-CN"/>
        </w:rPr>
        <w:t>水分</w:t>
      </w:r>
      <w:r>
        <w:rPr>
          <w:rFonts w:hint="eastAsia" w:ascii="CESI仿宋-GB13000" w:hAnsi="CESI仿宋-GB13000" w:eastAsia="CESI仿宋-GB13000" w:cs="CESI仿宋-GB13000"/>
          <w:sz w:val="32"/>
          <w:szCs w:val="32"/>
        </w:rPr>
        <w:t>】</w:t>
      </w:r>
      <w:r>
        <w:rPr>
          <w:rFonts w:hint="eastAsia" w:ascii="CESI仿宋-GB13000" w:hAnsi="CESI仿宋-GB13000" w:eastAsia="CESI仿宋-GB13000" w:cs="CESI仿宋-GB13000"/>
          <w:sz w:val="32"/>
          <w:szCs w:val="32"/>
          <w:lang w:val="en-US" w:eastAsia="zh-CN"/>
        </w:rPr>
        <w:t>不符合规定</w:t>
      </w:r>
      <w:r>
        <w:rPr>
          <w:rFonts w:hint="eastAsia" w:ascii="CESI仿宋-GB13000" w:hAnsi="CESI仿宋-GB13000" w:eastAsia="CESI仿宋-GB13000" w:cs="CESI仿宋-GB13000"/>
          <w:color w:val="00000A"/>
          <w:sz w:val="32"/>
          <w:szCs w:val="32"/>
          <w:lang w:val="en-US" w:eastAsia="zh-CN"/>
        </w:rPr>
        <w:t>。</w:t>
      </w:r>
      <w:r>
        <w:rPr>
          <w:rFonts w:hint="eastAsia" w:ascii="CESI仿宋-GB13000" w:hAnsi="CESI仿宋-GB13000" w:eastAsia="CESI仿宋-GB13000" w:cs="CESI仿宋-GB13000"/>
          <w:color w:val="auto"/>
          <w:sz w:val="32"/>
          <w:szCs w:val="32"/>
          <w:lang w:eastAsia="zh-CN"/>
        </w:rPr>
        <w:t>依照《药品管理法》第九十八条第三款第（七）项规定，应为劣药。经核实，</w:t>
      </w:r>
      <w:r>
        <w:rPr>
          <w:rFonts w:hint="eastAsia" w:ascii="CESI仿宋-GB13000" w:hAnsi="CESI仿宋-GB13000" w:eastAsia="CESI仿宋-GB13000" w:cs="CESI仿宋-GB13000"/>
          <w:color w:val="auto"/>
          <w:sz w:val="32"/>
          <w:szCs w:val="32"/>
          <w:lang w:val="en-US" w:eastAsia="zh-CN"/>
        </w:rPr>
        <w:t>上述批次</w:t>
      </w:r>
      <w:r>
        <w:rPr>
          <w:rFonts w:hint="eastAsia" w:ascii="CESI仿宋-GB2312" w:hAnsi="CESI仿宋-GB2312" w:eastAsia="CESI仿宋-GB2312" w:cs="CESI仿宋-GB2312"/>
          <w:color w:val="auto"/>
          <w:sz w:val="32"/>
          <w:szCs w:val="32"/>
          <w:u w:val="none"/>
          <w:lang w:val="en-US" w:eastAsia="zh-CN"/>
        </w:rPr>
        <w:t>劣药共采购11840袋</w:t>
      </w:r>
      <w:r>
        <w:rPr>
          <w:rFonts w:hint="eastAsia" w:ascii="CESI仿宋-GB13000" w:hAnsi="CESI仿宋-GB13000" w:eastAsia="CESI仿宋-GB13000" w:cs="CESI仿宋-GB13000"/>
          <w:color w:val="auto"/>
          <w:sz w:val="32"/>
          <w:szCs w:val="32"/>
          <w:lang w:val="en-US" w:eastAsia="zh-CN"/>
        </w:rPr>
        <w:t>，退回供应商753袋，报损销毁4袋，</w:t>
      </w:r>
      <w:r>
        <w:rPr>
          <w:rFonts w:hint="eastAsia" w:ascii="CESI仿宋-GB2312" w:hAnsi="CESI仿宋-GB2312" w:eastAsia="CESI仿宋-GB2312" w:cs="CESI仿宋-GB2312"/>
          <w:color w:val="auto"/>
          <w:sz w:val="32"/>
          <w:szCs w:val="32"/>
          <w:lang w:eastAsia="zh-CN"/>
        </w:rPr>
        <w:t>实际销售</w:t>
      </w:r>
      <w:r>
        <w:rPr>
          <w:rFonts w:hint="eastAsia" w:ascii="CESI仿宋-GB2312" w:hAnsi="CESI仿宋-GB2312" w:eastAsia="CESI仿宋-GB2312" w:cs="CESI仿宋-GB2312"/>
          <w:color w:val="auto"/>
          <w:sz w:val="32"/>
          <w:szCs w:val="32"/>
          <w:lang w:val="en-US" w:eastAsia="zh-CN"/>
        </w:rPr>
        <w:t>11083袋</w:t>
      </w:r>
      <w:r>
        <w:rPr>
          <w:rFonts w:hint="eastAsia" w:ascii="CESI仿宋-GB2312" w:hAnsi="CESI仿宋-GB2312" w:eastAsia="CESI仿宋-GB2312" w:cs="CESI仿宋-GB2312"/>
          <w:color w:val="auto"/>
          <w:sz w:val="32"/>
          <w:szCs w:val="32"/>
          <w:lang w:eastAsia="zh-CN"/>
        </w:rPr>
        <w:t>，</w:t>
      </w:r>
      <w:r>
        <w:rPr>
          <w:rFonts w:hint="eastAsia" w:ascii="CESI仿宋-GB13000" w:hAnsi="CESI仿宋-GB13000" w:eastAsia="CESI仿宋-GB13000" w:cs="CESI仿宋-GB13000"/>
          <w:color w:val="auto"/>
          <w:kern w:val="1"/>
          <w:sz w:val="32"/>
          <w:szCs w:val="32"/>
          <w:lang w:eastAsia="zh-CN"/>
        </w:rPr>
        <w:t>实际销售货值为</w:t>
      </w:r>
      <w:r>
        <w:rPr>
          <w:rFonts w:hint="eastAsia" w:ascii="CESI仿宋-GB13000" w:hAnsi="CESI仿宋-GB13000" w:eastAsia="CESI仿宋-GB13000" w:cs="CESI仿宋-GB13000"/>
          <w:color w:val="auto"/>
          <w:kern w:val="1"/>
          <w:sz w:val="32"/>
          <w:szCs w:val="32"/>
          <w:lang w:val="en-US" w:eastAsia="zh-CN"/>
        </w:rPr>
        <w:t>179658.8468元，实际进价为169298.49元，</w:t>
      </w:r>
      <w:r>
        <w:rPr>
          <w:rFonts w:hint="eastAsia" w:ascii="CESI仿宋-GB13000" w:hAnsi="CESI仿宋-GB13000" w:eastAsia="CESI仿宋-GB13000" w:cs="CESI仿宋-GB13000"/>
          <w:color w:val="auto"/>
          <w:kern w:val="1"/>
          <w:sz w:val="32"/>
          <w:szCs w:val="32"/>
          <w:lang w:eastAsia="zh-CN"/>
        </w:rPr>
        <w:t>违法所得</w:t>
      </w:r>
      <w:r>
        <w:rPr>
          <w:rFonts w:hint="eastAsia" w:ascii="CESI仿宋-GB13000" w:hAnsi="CESI仿宋-GB13000" w:eastAsia="CESI仿宋-GB13000" w:cs="CESI仿宋-GB13000"/>
          <w:color w:val="auto"/>
          <w:kern w:val="1"/>
          <w:sz w:val="32"/>
          <w:szCs w:val="32"/>
          <w:lang w:val="en-US" w:eastAsia="zh-CN"/>
        </w:rPr>
        <w:t>10360.36</w:t>
      </w:r>
      <w:r>
        <w:rPr>
          <w:rFonts w:hint="eastAsia" w:ascii="CESI仿宋-GB13000" w:hAnsi="CESI仿宋-GB13000" w:eastAsia="CESI仿宋-GB13000" w:cs="CESI仿宋-GB13000"/>
          <w:color w:val="auto"/>
          <w:kern w:val="1"/>
          <w:sz w:val="32"/>
          <w:szCs w:val="32"/>
        </w:rPr>
        <w:t>元</w:t>
      </w:r>
      <w:r>
        <w:rPr>
          <w:rFonts w:hint="eastAsia" w:ascii="CESI仿宋-GB13000" w:hAnsi="CESI仿宋-GB13000" w:eastAsia="CESI仿宋-GB13000" w:cs="CESI仿宋-GB13000"/>
          <w:color w:val="auto"/>
          <w:kern w:val="1"/>
          <w:sz w:val="32"/>
          <w:szCs w:val="32"/>
          <w:lang w:eastAsia="zh-CN"/>
        </w:rPr>
        <w:t>（四舍五入）</w:t>
      </w:r>
      <w:r>
        <w:rPr>
          <w:rFonts w:hint="eastAsia" w:ascii="CESI仿宋-GB13000" w:hAnsi="CESI仿宋-GB13000" w:eastAsia="CESI仿宋-GB13000" w:cs="CESI仿宋-GB13000"/>
          <w:color w:val="00000A"/>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640" w:firstLineChars="200"/>
        <w:jc w:val="both"/>
        <w:textAlignment w:val="auto"/>
        <w:rPr>
          <w:rFonts w:hint="eastAsia" w:ascii="CESI仿宋-GB2312" w:hAnsi="CESI仿宋-GB2312" w:eastAsia="CESI仿宋-GB2312" w:cs="CESI仿宋-GB2312"/>
          <w:color w:val="auto"/>
          <w:kern w:val="1"/>
          <w:sz w:val="32"/>
          <w:szCs w:val="32"/>
          <w:lang w:val="en-US" w:eastAsia="zh-CN"/>
        </w:rPr>
      </w:pPr>
      <w:r>
        <w:rPr>
          <w:rFonts w:hint="eastAsia" w:ascii="CESI仿宋-GB13000" w:hAnsi="CESI仿宋-GB13000" w:eastAsia="CESI仿宋-GB13000" w:cs="CESI仿宋-GB13000"/>
          <w:color w:val="00000A"/>
          <w:sz w:val="32"/>
          <w:szCs w:val="32"/>
          <w:u w:val="none"/>
          <w:lang w:val="en-US" w:eastAsia="zh-CN"/>
        </w:rPr>
        <w:t>另经调查</w:t>
      </w:r>
      <w:r>
        <w:rPr>
          <w:rFonts w:hint="eastAsia" w:ascii="CESI仿宋-GB2312" w:hAnsi="CESI仿宋-GB2312" w:eastAsia="CESI仿宋-GB2312" w:cs="CESI仿宋-GB2312"/>
          <w:color w:val="auto"/>
          <w:kern w:val="1"/>
          <w:sz w:val="32"/>
          <w:szCs w:val="32"/>
          <w:lang w:val="en-US" w:eastAsia="zh-CN"/>
        </w:rPr>
        <w:t>，当事人在采购、验收、储存、销售上述药品过程中，未发现异常。其销售劣药的行为符合《药品管理法实施条例》第七十五条的规定。</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textAlignment w:val="auto"/>
        <w:outlineLvl w:val="9"/>
        <w:rPr>
          <w:rFonts w:hint="eastAsia" w:ascii="CESI仿宋-GB13000" w:hAnsi="CESI仿宋-GB13000" w:eastAsia="CESI仿宋-GB13000" w:cs="CESI仿宋-GB13000"/>
          <w:color w:val="auto"/>
          <w:sz w:val="32"/>
          <w:szCs w:val="32"/>
          <w:lang w:val="en-US" w:eastAsia="zh-CN"/>
        </w:rPr>
      </w:pPr>
      <w:r>
        <w:rPr>
          <w:rFonts w:hint="eastAsia" w:ascii="CESI仿宋-GB13000" w:hAnsi="CESI仿宋-GB13000" w:eastAsia="CESI仿宋-GB13000" w:cs="CESI仿宋-GB13000"/>
          <w:color w:val="auto"/>
          <w:sz w:val="32"/>
          <w:szCs w:val="32"/>
          <w:lang w:val="en-US" w:eastAsia="zh-CN"/>
        </w:rPr>
        <w:t>2025年9月8日，本办将行政处罚告知书依法送达当事人，并告知当事人具有陈述申辩的权利。截止9月16日，当事人未提起陈述和申辩。</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textAlignment w:val="auto"/>
        <w:outlineLvl w:val="9"/>
        <w:rPr>
          <w:rFonts w:hint="eastAsia" w:ascii="CESI仿宋-GB13000" w:hAnsi="CESI仿宋-GB13000" w:eastAsia="CESI仿宋-GB13000" w:cs="CESI仿宋-GB13000"/>
          <w:color w:val="auto"/>
          <w:sz w:val="32"/>
          <w:szCs w:val="32"/>
          <w:lang w:val="en-US" w:eastAsia="zh-CN"/>
        </w:rPr>
      </w:pPr>
      <w:r>
        <w:rPr>
          <w:rFonts w:hint="eastAsia" w:ascii="CESI仿宋-GB13000" w:hAnsi="CESI仿宋-GB13000" w:eastAsia="CESI仿宋-GB13000" w:cs="CESI仿宋-GB13000"/>
          <w:color w:val="auto"/>
          <w:sz w:val="32"/>
          <w:szCs w:val="32"/>
          <w:lang w:val="en-US" w:eastAsia="zh-CN"/>
        </w:rPr>
        <w:t>当事人销售劣药芡实的违法行为，</w:t>
      </w:r>
      <w:r>
        <w:rPr>
          <w:rFonts w:hint="eastAsia" w:ascii="CESI仿宋-GB13000" w:hAnsi="CESI仿宋-GB13000" w:eastAsia="CESI仿宋-GB13000" w:cs="CESI仿宋-GB13000"/>
          <w:kern w:val="2"/>
          <w:sz w:val="32"/>
          <w:szCs w:val="32"/>
        </w:rPr>
        <w:t>违反了</w:t>
      </w:r>
      <w:r>
        <w:rPr>
          <w:rFonts w:hint="eastAsia" w:ascii="CESI仿宋-GB13000" w:hAnsi="CESI仿宋-GB13000" w:eastAsia="CESI仿宋-GB13000" w:cs="CESI仿宋-GB13000"/>
          <w:color w:val="auto"/>
          <w:kern w:val="2"/>
          <w:sz w:val="32"/>
          <w:szCs w:val="32"/>
        </w:rPr>
        <w:t>《中华人民共和国药品管理法》第九十八条第一款的规定。依照</w:t>
      </w:r>
      <w:r>
        <w:rPr>
          <w:rFonts w:hint="eastAsia" w:ascii="CESI仿宋-GB13000" w:hAnsi="CESI仿宋-GB13000" w:eastAsia="CESI仿宋-GB13000" w:cs="CESI仿宋-GB13000"/>
          <w:color w:val="auto"/>
          <w:sz w:val="32"/>
          <w:szCs w:val="32"/>
        </w:rPr>
        <w:t>《行政处罚法》第二十八条</w:t>
      </w:r>
      <w:r>
        <w:rPr>
          <w:rFonts w:hint="eastAsia" w:ascii="CESI仿宋-GB13000" w:hAnsi="CESI仿宋-GB13000" w:eastAsia="CESI仿宋-GB13000" w:cs="CESI仿宋-GB13000"/>
          <w:color w:val="auto"/>
          <w:sz w:val="32"/>
          <w:szCs w:val="32"/>
          <w:lang w:eastAsia="zh-CN"/>
        </w:rPr>
        <w:t>第一款</w:t>
      </w:r>
      <w:r>
        <w:rPr>
          <w:rFonts w:hint="eastAsia" w:ascii="CESI仿宋-GB13000" w:hAnsi="CESI仿宋-GB13000" w:eastAsia="CESI仿宋-GB13000" w:cs="CESI仿宋-GB13000"/>
          <w:color w:val="auto"/>
          <w:sz w:val="32"/>
          <w:szCs w:val="32"/>
        </w:rPr>
        <w:t>、</w:t>
      </w:r>
      <w:r>
        <w:rPr>
          <w:rFonts w:hint="eastAsia" w:ascii="CESI仿宋-GB13000" w:hAnsi="CESI仿宋-GB13000" w:eastAsia="CESI仿宋-GB13000" w:cs="CESI仿宋-GB13000"/>
          <w:color w:val="auto"/>
          <w:kern w:val="2"/>
          <w:sz w:val="32"/>
          <w:szCs w:val="32"/>
        </w:rPr>
        <w:t>《药品管理法》第一百一十七条第一款</w:t>
      </w:r>
      <w:r>
        <w:rPr>
          <w:rFonts w:hint="eastAsia" w:ascii="CESI仿宋-GB13000" w:hAnsi="CESI仿宋-GB13000" w:eastAsia="CESI仿宋-GB13000" w:cs="CESI仿宋-GB13000"/>
          <w:color w:val="auto"/>
          <w:kern w:val="2"/>
          <w:sz w:val="32"/>
          <w:szCs w:val="32"/>
          <w:shd w:val="clear"/>
        </w:rPr>
        <w:t>和</w:t>
      </w:r>
      <w:r>
        <w:rPr>
          <w:rFonts w:hint="eastAsia" w:ascii="CESI仿宋-GB13000" w:hAnsi="CESI仿宋-GB13000" w:eastAsia="CESI仿宋-GB13000" w:cs="CESI仿宋-GB13000"/>
          <w:color w:val="auto"/>
          <w:kern w:val="2"/>
          <w:sz w:val="32"/>
          <w:szCs w:val="32"/>
        </w:rPr>
        <w:t>《药品管理法实施条例》</w:t>
      </w:r>
      <w:r>
        <w:rPr>
          <w:rFonts w:hint="eastAsia" w:ascii="CESI仿宋-GB13000" w:hAnsi="CESI仿宋-GB13000" w:eastAsia="CESI仿宋-GB13000" w:cs="CESI仿宋-GB13000"/>
          <w:color w:val="auto"/>
          <w:kern w:val="2"/>
          <w:sz w:val="32"/>
          <w:szCs w:val="32"/>
          <w:lang w:eastAsia="zh-CN"/>
        </w:rPr>
        <w:t>（</w:t>
      </w:r>
      <w:r>
        <w:rPr>
          <w:rFonts w:hint="eastAsia" w:ascii="CESI仿宋-GB13000" w:hAnsi="CESI仿宋-GB13000" w:eastAsia="CESI仿宋-GB13000" w:cs="CESI仿宋-GB13000"/>
          <w:color w:val="auto"/>
          <w:kern w:val="2"/>
          <w:sz w:val="32"/>
          <w:szCs w:val="32"/>
          <w:lang w:val="en-US" w:eastAsia="zh-CN"/>
        </w:rPr>
        <w:t>2019年修正）</w:t>
      </w:r>
      <w:r>
        <w:rPr>
          <w:rFonts w:hint="eastAsia" w:ascii="CESI仿宋-GB13000" w:hAnsi="CESI仿宋-GB13000" w:eastAsia="CESI仿宋-GB13000" w:cs="CESI仿宋-GB13000"/>
          <w:color w:val="auto"/>
          <w:kern w:val="2"/>
          <w:sz w:val="32"/>
          <w:szCs w:val="32"/>
        </w:rPr>
        <w:t>第七十五条的规定</w:t>
      </w:r>
      <w:r>
        <w:rPr>
          <w:rFonts w:hint="eastAsia" w:ascii="CESI仿宋-GB13000" w:hAnsi="CESI仿宋-GB13000" w:eastAsia="CESI仿宋-GB13000" w:cs="CESI仿宋-GB13000"/>
          <w:color w:val="auto"/>
          <w:sz w:val="32"/>
          <w:szCs w:val="32"/>
          <w:lang w:val="en-US" w:eastAsia="zh-CN"/>
        </w:rPr>
        <w:t>，责令当事人改正违法行为并作如下处罚：</w:t>
      </w:r>
    </w:p>
    <w:p>
      <w:pPr>
        <w:pStyle w:val="4"/>
        <w:widowControl/>
        <w:shd w:val="clear" w:color="auto" w:fill="FFFFFF"/>
        <w:spacing w:beforeAutospacing="0" w:afterAutospacing="0" w:line="520" w:lineRule="exact"/>
        <w:ind w:firstLine="640"/>
        <w:rPr>
          <w:rFonts w:ascii="CESI仿宋-GB13000" w:hAnsi="CESI仿宋-GB13000" w:eastAsia="CESI仿宋-GB13000" w:cs="CESI仿宋-GB13000"/>
          <w:kern w:val="2"/>
          <w:sz w:val="32"/>
          <w:szCs w:val="32"/>
        </w:rPr>
      </w:pPr>
      <w:r>
        <w:rPr>
          <w:rFonts w:hint="eastAsia" w:ascii="CESI仿宋-GB13000" w:hAnsi="CESI仿宋-GB13000" w:eastAsia="CESI仿宋-GB13000" w:cs="CESI仿宋-GB13000"/>
          <w:kern w:val="2"/>
          <w:sz w:val="32"/>
          <w:szCs w:val="32"/>
        </w:rPr>
        <w:t>1.没收销售</w:t>
      </w:r>
      <w:r>
        <w:rPr>
          <w:rFonts w:hint="eastAsia" w:ascii="CESI仿宋-GB13000" w:hAnsi="CESI仿宋-GB13000" w:eastAsia="CESI仿宋-GB13000" w:cs="CESI仿宋-GB13000"/>
          <w:kern w:val="2"/>
          <w:sz w:val="32"/>
          <w:szCs w:val="32"/>
          <w:lang w:eastAsia="zh-CN"/>
        </w:rPr>
        <w:t>劣药芡实</w:t>
      </w:r>
      <w:r>
        <w:rPr>
          <w:rFonts w:hint="eastAsia" w:ascii="CESI仿宋-GB13000" w:hAnsi="CESI仿宋-GB13000" w:eastAsia="CESI仿宋-GB13000" w:cs="CESI仿宋-GB13000"/>
          <w:color w:val="auto"/>
          <w:kern w:val="2"/>
          <w:sz w:val="32"/>
          <w:szCs w:val="32"/>
        </w:rPr>
        <w:t>违法所得</w:t>
      </w:r>
      <w:r>
        <w:rPr>
          <w:rFonts w:hint="eastAsia" w:ascii="CESI仿宋-GB2312" w:hAnsi="CESI仿宋-GB2312" w:eastAsia="CESI仿宋-GB2312" w:cs="CESI仿宋-GB2312"/>
          <w:color w:val="auto"/>
          <w:sz w:val="32"/>
          <w:szCs w:val="32"/>
          <w:lang w:val="en-US" w:eastAsia="zh-CN"/>
        </w:rPr>
        <w:t>10360.</w:t>
      </w:r>
      <w:r>
        <w:rPr>
          <w:rFonts w:hint="default" w:ascii="CESI仿宋-GB2312" w:hAnsi="CESI仿宋-GB2312" w:eastAsia="CESI仿宋-GB2312" w:cs="CESI仿宋-GB2312"/>
          <w:color w:val="auto"/>
          <w:sz w:val="32"/>
          <w:szCs w:val="32"/>
          <w:lang w:val="en" w:eastAsia="zh-CN"/>
        </w:rPr>
        <w:t>36</w:t>
      </w:r>
      <w:r>
        <w:rPr>
          <w:rFonts w:hint="eastAsia" w:ascii="CESI仿宋-GB13000" w:hAnsi="CESI仿宋-GB13000" w:eastAsia="CESI仿宋-GB13000" w:cs="CESI仿宋-GB13000"/>
          <w:color w:val="auto"/>
          <w:kern w:val="2"/>
          <w:sz w:val="32"/>
          <w:szCs w:val="32"/>
        </w:rPr>
        <w:t>元；</w:t>
      </w:r>
    </w:p>
    <w:p>
      <w:pPr>
        <w:pStyle w:val="4"/>
        <w:widowControl/>
        <w:numPr>
          <w:ilvl w:val="-1"/>
          <w:numId w:val="0"/>
        </w:numPr>
        <w:shd w:val="clear" w:color="auto" w:fill="FFFFFF"/>
        <w:spacing w:beforeAutospacing="0" w:afterAutospacing="0" w:line="520" w:lineRule="exact"/>
        <w:ind w:firstLine="640" w:firstLineChars="200"/>
        <w:rPr>
          <w:rFonts w:hint="eastAsia" w:ascii="CESI仿宋-GB13000" w:hAnsi="CESI仿宋-GB13000" w:eastAsia="CESI仿宋-GB13000" w:cs="CESI仿宋-GB13000"/>
          <w:color w:val="auto"/>
          <w:sz w:val="32"/>
          <w:szCs w:val="32"/>
          <w:lang w:val="en-US" w:eastAsia="zh-CN"/>
        </w:rPr>
      </w:pPr>
      <w:r>
        <w:rPr>
          <w:rFonts w:hint="eastAsia" w:ascii="CESI仿宋-GB13000" w:hAnsi="CESI仿宋-GB13000" w:eastAsia="CESI仿宋-GB13000" w:cs="CESI仿宋-GB13000"/>
          <w:kern w:val="2"/>
          <w:sz w:val="32"/>
          <w:szCs w:val="32"/>
        </w:rPr>
        <w:t>2.免于其他行政处罚。</w:t>
      </w:r>
      <w:r>
        <w:rPr>
          <w:rFonts w:hint="eastAsia" w:ascii="CESI仿宋-GB13000" w:hAnsi="CESI仿宋-GB13000" w:eastAsia="CESI仿宋-GB13000" w:cs="CESI仿宋-GB13000"/>
          <w:color w:val="auto"/>
          <w:sz w:val="32"/>
          <w:szCs w:val="32"/>
          <w:lang w:val="en-US" w:eastAsia="zh-CN"/>
        </w:rPr>
        <w:t>　</w:t>
      </w:r>
      <w:r>
        <w:rPr>
          <w:rFonts w:hint="eastAsia" w:ascii="仿宋" w:hAnsi="仿宋" w:eastAsia="仿宋" w:cs="仿宋"/>
          <w:sz w:val="32"/>
          <w:szCs w:val="32"/>
        </w:rPr>
        <w:t>　</w:t>
      </w:r>
      <w:r>
        <w:rPr>
          <w:rFonts w:hint="eastAsia" w:ascii="CESI仿宋-GB13000" w:hAnsi="CESI仿宋-GB13000" w:eastAsia="CESI仿宋-GB13000" w:cs="CESI仿宋-GB13000"/>
          <w:color w:val="auto"/>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textAlignment w:val="auto"/>
        <w:outlineLvl w:val="9"/>
        <w:rPr>
          <w:rFonts w:hint="eastAsia" w:ascii="CESI仿宋-GB2312" w:hAnsi="CESI仿宋-GB2312" w:eastAsia="CESI仿宋-GB2312" w:cs="CESI仿宋-GB2312"/>
          <w:color w:val="auto"/>
          <w:sz w:val="32"/>
          <w:szCs w:val="32"/>
          <w:u w:val="none"/>
        </w:rPr>
      </w:pPr>
      <w:r>
        <w:rPr>
          <w:rFonts w:hint="eastAsia" w:ascii="CESI仿宋-GB13000" w:hAnsi="CESI仿宋-GB13000" w:eastAsia="CESI仿宋-GB13000" w:cs="CESI仿宋-GB13000"/>
          <w:color w:val="auto"/>
          <w:sz w:val="32"/>
          <w:szCs w:val="32"/>
          <w:lang w:val="en-US" w:eastAsia="zh-CN"/>
        </w:rPr>
        <w:t>依据《中华人民共和国</w:t>
      </w:r>
      <w:r>
        <w:rPr>
          <w:rFonts w:hint="eastAsia" w:ascii="CESI仿宋-GB2312" w:hAnsi="CESI仿宋-GB2312" w:eastAsia="CESI仿宋-GB2312" w:cs="CESI仿宋-GB2312"/>
          <w:color w:val="auto"/>
          <w:sz w:val="32"/>
          <w:szCs w:val="32"/>
        </w:rPr>
        <w:t>行政处罚法》第</w:t>
      </w:r>
      <w:r>
        <w:rPr>
          <w:rFonts w:hint="eastAsia" w:ascii="CESI仿宋-GB2312" w:hAnsi="CESI仿宋-GB2312" w:eastAsia="CESI仿宋-GB2312" w:cs="CESI仿宋-GB2312"/>
          <w:color w:val="auto"/>
          <w:sz w:val="32"/>
          <w:szCs w:val="32"/>
          <w:lang w:eastAsia="zh-CN"/>
        </w:rPr>
        <w:t>六十七</w:t>
      </w:r>
      <w:r>
        <w:rPr>
          <w:rFonts w:hint="eastAsia" w:ascii="CESI仿宋-GB2312" w:hAnsi="CESI仿宋-GB2312" w:eastAsia="CESI仿宋-GB2312" w:cs="CESI仿宋-GB2312"/>
          <w:color w:val="auto"/>
          <w:sz w:val="32"/>
          <w:szCs w:val="32"/>
        </w:rPr>
        <w:t>条</w:t>
      </w:r>
      <w:r>
        <w:rPr>
          <w:rFonts w:hint="eastAsia" w:ascii="CESI仿宋-GB2312" w:hAnsi="CESI仿宋-GB2312" w:eastAsia="CESI仿宋-GB2312" w:cs="CESI仿宋-GB2312"/>
          <w:color w:val="auto"/>
          <w:sz w:val="32"/>
          <w:szCs w:val="32"/>
          <w:lang w:eastAsia="zh-CN"/>
        </w:rPr>
        <w:t>第三款</w:t>
      </w:r>
      <w:r>
        <w:rPr>
          <w:rFonts w:hint="eastAsia" w:ascii="CESI仿宋-GB2312" w:hAnsi="CESI仿宋-GB2312" w:eastAsia="CESI仿宋-GB2312" w:cs="CESI仿宋-GB2312"/>
          <w:color w:val="auto"/>
          <w:sz w:val="32"/>
          <w:szCs w:val="32"/>
        </w:rPr>
        <w:t>规定，</w:t>
      </w:r>
      <w:r>
        <w:rPr>
          <w:rFonts w:hint="eastAsia" w:ascii="CESI仿宋-GB2312" w:hAnsi="CESI仿宋-GB2312" w:eastAsia="CESI仿宋-GB2312" w:cs="CESI仿宋-GB2312"/>
          <w:color w:val="auto"/>
          <w:kern w:val="1"/>
          <w:sz w:val="32"/>
          <w:szCs w:val="32"/>
          <w:lang w:eastAsia="zh-CN"/>
        </w:rPr>
        <w:t>当事人</w:t>
      </w:r>
      <w:r>
        <w:rPr>
          <w:rFonts w:hint="eastAsia" w:ascii="CESI仿宋-GB2312" w:hAnsi="CESI仿宋-GB2312" w:eastAsia="CESI仿宋-GB2312" w:cs="CESI仿宋-GB2312"/>
          <w:color w:val="auto"/>
          <w:sz w:val="32"/>
          <w:szCs w:val="32"/>
          <w:u w:val="none"/>
          <w:lang w:eastAsia="zh-CN"/>
        </w:rPr>
        <w:t>接到本行政处罚决定之日起</w:t>
      </w:r>
      <w:r>
        <w:rPr>
          <w:rFonts w:hint="eastAsia" w:ascii="CESI仿宋-GB2312" w:hAnsi="CESI仿宋-GB2312" w:eastAsia="CESI仿宋-GB2312" w:cs="CESI仿宋-GB2312"/>
          <w:color w:val="auto"/>
          <w:sz w:val="32"/>
          <w:szCs w:val="32"/>
          <w:u w:val="none"/>
          <w:lang w:val="en-US" w:eastAsia="zh-CN"/>
        </w:rPr>
        <w:t>15日内携</w:t>
      </w:r>
      <w:r>
        <w:rPr>
          <w:rFonts w:hint="eastAsia" w:ascii="CESI仿宋-GB2312" w:hAnsi="CESI仿宋-GB2312" w:eastAsia="CESI仿宋-GB2312" w:cs="CESI仿宋-GB2312"/>
          <w:color w:val="auto"/>
          <w:sz w:val="32"/>
          <w:szCs w:val="32"/>
          <w:u w:val="single"/>
          <w:lang w:val="en-US" w:eastAsia="zh-CN"/>
        </w:rPr>
        <w:t>福建省药品监督管理局福州药品稽查办公室</w:t>
      </w:r>
      <w:r>
        <w:rPr>
          <w:rFonts w:hint="eastAsia" w:ascii="CESI仿宋-GB2312" w:hAnsi="CESI仿宋-GB2312" w:eastAsia="CESI仿宋-GB2312" w:cs="CESI仿宋-GB2312"/>
          <w:color w:val="auto"/>
          <w:sz w:val="32"/>
          <w:szCs w:val="32"/>
          <w:u w:val="none"/>
          <w:lang w:val="en-US" w:eastAsia="zh-CN"/>
        </w:rPr>
        <w:t>开具的行政罚没缴款通知书，至各银行网点或者通过电子支付系统缴纳并将缴纳凭证送交我办。到期不缴纳罚款的，依据《中华人民共和国行政处罚法》第七十二条第一款第（一）项的规定，本办将每日按罚款数额的百分之三加处罚款，并依法申请人民法院强制执行</w:t>
      </w:r>
      <w:r>
        <w:rPr>
          <w:rFonts w:hint="eastAsia" w:ascii="CESI仿宋-GB2312" w:hAnsi="CESI仿宋-GB2312" w:eastAsia="CESI仿宋-GB2312" w:cs="CESI仿宋-GB2312"/>
          <w:color w:val="auto"/>
          <w:sz w:val="32"/>
          <w:szCs w:val="32"/>
          <w:u w:val="none"/>
          <w:lang w:eastAsia="zh-CN"/>
        </w:rPr>
        <w:t>。</w:t>
      </w:r>
      <w:r>
        <w:rPr>
          <w:rFonts w:hint="eastAsia" w:ascii="CESI仿宋-GB2312" w:hAnsi="CESI仿宋-GB2312" w:eastAsia="CESI仿宋-GB2312" w:cs="CESI仿宋-GB2312"/>
          <w:color w:val="auto"/>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601"/>
        <w:jc w:val="both"/>
        <w:textAlignment w:val="auto"/>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color w:val="auto"/>
          <w:sz w:val="32"/>
          <w:szCs w:val="32"/>
          <w:u w:val="none"/>
          <w:lang w:eastAsia="zh-CN"/>
        </w:rPr>
        <w:t>如你（单位）不服本行政处罚决定，可以在收到本行政处罚决定书之日起</w:t>
      </w:r>
      <w:r>
        <w:rPr>
          <w:rFonts w:hint="eastAsia" w:ascii="CESI仿宋-GB2312" w:hAnsi="CESI仿宋-GB2312" w:eastAsia="CESI仿宋-GB2312" w:cs="CESI仿宋-GB2312"/>
          <w:color w:val="auto"/>
          <w:sz w:val="32"/>
          <w:szCs w:val="32"/>
          <w:u w:val="single"/>
          <w:lang w:eastAsia="zh-CN"/>
        </w:rPr>
        <w:t>六十日</w:t>
      </w:r>
      <w:r>
        <w:rPr>
          <w:rFonts w:hint="eastAsia" w:ascii="CESI仿宋-GB2312" w:hAnsi="CESI仿宋-GB2312" w:eastAsia="CESI仿宋-GB2312" w:cs="CESI仿宋-GB2312"/>
          <w:color w:val="auto"/>
          <w:sz w:val="32"/>
          <w:szCs w:val="32"/>
          <w:u w:val="none"/>
          <w:lang w:eastAsia="zh-CN"/>
        </w:rPr>
        <w:t>内向</w:t>
      </w:r>
      <w:r>
        <w:rPr>
          <w:rFonts w:hint="eastAsia" w:ascii="CESI仿宋-GB2312" w:hAnsi="CESI仿宋-GB2312" w:eastAsia="CESI仿宋-GB2312" w:cs="CESI仿宋-GB2312"/>
          <w:color w:val="auto"/>
          <w:sz w:val="32"/>
          <w:szCs w:val="32"/>
          <w:u w:val="single"/>
          <w:lang w:eastAsia="zh-CN"/>
        </w:rPr>
        <w:t>福建省人民政府</w:t>
      </w:r>
      <w:r>
        <w:rPr>
          <w:rFonts w:hint="eastAsia" w:ascii="CESI仿宋-GB2312" w:hAnsi="CESI仿宋-GB2312" w:eastAsia="CESI仿宋-GB2312" w:cs="CESI仿宋-GB2312"/>
          <w:color w:val="auto"/>
          <w:sz w:val="32"/>
          <w:szCs w:val="32"/>
          <w:u w:val="none"/>
          <w:lang w:eastAsia="zh-CN"/>
        </w:rPr>
        <w:t>申请行政复议；也可以在</w:t>
      </w:r>
      <w:r>
        <w:rPr>
          <w:rFonts w:hint="eastAsia" w:ascii="CESI仿宋-GB2312" w:hAnsi="CESI仿宋-GB2312" w:eastAsia="CESI仿宋-GB2312" w:cs="CESI仿宋-GB2312"/>
          <w:color w:val="auto"/>
          <w:sz w:val="32"/>
          <w:szCs w:val="32"/>
          <w:u w:val="single"/>
          <w:lang w:eastAsia="zh-CN"/>
        </w:rPr>
        <w:t>六个月</w:t>
      </w:r>
      <w:r>
        <w:rPr>
          <w:rFonts w:hint="eastAsia" w:ascii="CESI仿宋-GB2312" w:hAnsi="CESI仿宋-GB2312" w:eastAsia="CESI仿宋-GB2312" w:cs="CESI仿宋-GB2312"/>
          <w:color w:val="auto"/>
          <w:sz w:val="32"/>
          <w:szCs w:val="32"/>
          <w:u w:val="none"/>
          <w:lang w:eastAsia="zh-CN"/>
        </w:rPr>
        <w:t>内依法向福州市鼓楼区人民法院提起行政诉讼。申请行政复议或者提起行政诉讼期间，行政处罚不停止执行。</w:t>
      </w:r>
    </w:p>
    <w:p>
      <w:pPr>
        <w:keepNext w:val="0"/>
        <w:keepLines w:val="0"/>
        <w:pageBreakBefore w:val="0"/>
        <w:kinsoku/>
        <w:overflowPunct/>
        <w:topLinePunct w:val="0"/>
        <w:autoSpaceDE/>
        <w:autoSpaceDN/>
        <w:bidi w:val="0"/>
        <w:adjustRightInd/>
        <w:spacing w:line="580" w:lineRule="exact"/>
        <w:ind w:firstLine="601"/>
        <w:jc w:val="center"/>
        <w:textAlignment w:val="auto"/>
        <w:rPr>
          <w:rFonts w:hint="eastAsia" w:ascii="CESI仿宋-GB2312" w:hAnsi="CESI仿宋-GB2312" w:eastAsia="CESI仿宋-GB2312" w:cs="CESI仿宋-GB2312"/>
          <w:color w:val="000000"/>
          <w:sz w:val="32"/>
          <w:szCs w:val="32"/>
        </w:rPr>
      </w:pPr>
    </w:p>
    <w:p>
      <w:pPr>
        <w:keepNext w:val="0"/>
        <w:keepLines w:val="0"/>
        <w:pageBreakBefore w:val="0"/>
        <w:kinsoku/>
        <w:overflowPunct/>
        <w:topLinePunct w:val="0"/>
        <w:autoSpaceDE/>
        <w:autoSpaceDN/>
        <w:bidi w:val="0"/>
        <w:adjustRightInd/>
        <w:spacing w:line="580" w:lineRule="exact"/>
        <w:ind w:firstLine="601"/>
        <w:jc w:val="center"/>
        <w:textAlignment w:val="auto"/>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color w:val="000000"/>
          <w:sz w:val="32"/>
          <w:szCs w:val="32"/>
          <w:lang w:eastAsia="zh-CN"/>
        </w:rPr>
        <w:t>　　　　　</w:t>
      </w:r>
      <w:r>
        <w:rPr>
          <w:rFonts w:hint="eastAsia" w:ascii="CESI仿宋-GB2312" w:hAnsi="CESI仿宋-GB2312" w:eastAsia="CESI仿宋-GB2312" w:cs="CESI仿宋-GB2312"/>
          <w:color w:val="000000"/>
          <w:sz w:val="32"/>
          <w:szCs w:val="32"/>
          <w:lang w:val="en-US" w:eastAsia="zh-CN"/>
        </w:rPr>
        <w:t xml:space="preserve"> </w:t>
      </w:r>
      <w:r>
        <w:rPr>
          <w:rFonts w:hint="eastAsia" w:ascii="CESI仿宋-GB2312" w:hAnsi="CESI仿宋-GB2312" w:eastAsia="CESI仿宋-GB2312" w:cs="CESI仿宋-GB2312"/>
          <w:color w:val="000000"/>
          <w:sz w:val="32"/>
          <w:szCs w:val="32"/>
          <w:lang w:eastAsia="zh-CN"/>
        </w:rPr>
        <w:t>福建省药品</w:t>
      </w:r>
      <w:r>
        <w:rPr>
          <w:rFonts w:hint="eastAsia" w:ascii="CESI仿宋-GB2312" w:hAnsi="CESI仿宋-GB2312" w:eastAsia="CESI仿宋-GB2312" w:cs="CESI仿宋-GB2312"/>
          <w:color w:val="000000"/>
          <w:sz w:val="32"/>
          <w:szCs w:val="32"/>
        </w:rPr>
        <w:t>监督管理局</w:t>
      </w:r>
    </w:p>
    <w:p>
      <w:pPr>
        <w:keepNext w:val="0"/>
        <w:keepLines w:val="0"/>
        <w:pageBreakBefore w:val="0"/>
        <w:kinsoku/>
        <w:overflowPunct/>
        <w:topLinePunct w:val="0"/>
        <w:autoSpaceDE/>
        <w:autoSpaceDN/>
        <w:bidi w:val="0"/>
        <w:adjustRightInd/>
        <w:spacing w:line="580" w:lineRule="exact"/>
        <w:ind w:firstLine="601"/>
        <w:jc w:val="center"/>
        <w:textAlignment w:val="auto"/>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color w:val="000000"/>
          <w:sz w:val="32"/>
          <w:szCs w:val="32"/>
          <w:lang w:val="en-US" w:eastAsia="zh-CN"/>
        </w:rPr>
        <w:t xml:space="preserve">           </w:t>
      </w:r>
      <w:r>
        <w:rPr>
          <w:rFonts w:hint="eastAsia" w:ascii="CESI仿宋-GB2312" w:hAnsi="CESI仿宋-GB2312" w:eastAsia="CESI仿宋-GB2312" w:cs="CESI仿宋-GB2312"/>
          <w:color w:val="000000"/>
          <w:sz w:val="32"/>
          <w:szCs w:val="32"/>
          <w:lang w:eastAsia="zh-CN"/>
        </w:rPr>
        <w:t>福州药品稽查办公室</w:t>
      </w:r>
    </w:p>
    <w:p>
      <w:pPr>
        <w:keepNext w:val="0"/>
        <w:keepLines w:val="0"/>
        <w:pageBreakBefore w:val="0"/>
        <w:kinsoku/>
        <w:overflowPunct/>
        <w:topLinePunct w:val="0"/>
        <w:autoSpaceDE/>
        <w:autoSpaceDN/>
        <w:bidi w:val="0"/>
        <w:adjustRightInd/>
        <w:spacing w:line="580" w:lineRule="exact"/>
        <w:ind w:right="640" w:firstLine="601"/>
        <w:jc w:val="center"/>
        <w:textAlignment w:val="auto"/>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color w:val="000000"/>
          <w:sz w:val="32"/>
          <w:szCs w:val="32"/>
        </w:rPr>
        <w:t xml:space="preserve">                 （印 章）</w:t>
      </w:r>
    </w:p>
    <w:p>
      <w:pPr>
        <w:keepNext w:val="0"/>
        <w:keepLines w:val="0"/>
        <w:pageBreakBefore w:val="0"/>
        <w:kinsoku/>
        <w:overflowPunct/>
        <w:topLinePunct w:val="0"/>
        <w:autoSpaceDE/>
        <w:autoSpaceDN/>
        <w:bidi w:val="0"/>
        <w:adjustRightInd/>
        <w:spacing w:line="580" w:lineRule="exact"/>
        <w:ind w:right="640" w:firstLine="600"/>
        <w:jc w:val="center"/>
        <w:textAlignment w:val="auto"/>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color w:val="000000"/>
          <w:sz w:val="32"/>
          <w:szCs w:val="32"/>
        </w:rPr>
        <w:t xml:space="preserve">                  </w:t>
      </w:r>
      <w:r>
        <w:rPr>
          <w:rFonts w:hint="eastAsia" w:ascii="CESI仿宋-GB2312" w:hAnsi="CESI仿宋-GB2312" w:eastAsia="CESI仿宋-GB2312" w:cs="CESI仿宋-GB2312"/>
          <w:color w:val="000000"/>
          <w:sz w:val="32"/>
          <w:szCs w:val="32"/>
          <w:lang w:val="en-US" w:eastAsia="zh-CN"/>
        </w:rPr>
        <w:t>2025</w:t>
      </w:r>
      <w:r>
        <w:rPr>
          <w:rFonts w:hint="eastAsia" w:ascii="CESI仿宋-GB2312" w:hAnsi="CESI仿宋-GB2312" w:eastAsia="CESI仿宋-GB2312" w:cs="CESI仿宋-GB2312"/>
          <w:color w:val="000000"/>
          <w:sz w:val="32"/>
          <w:szCs w:val="32"/>
        </w:rPr>
        <w:t>年</w:t>
      </w:r>
      <w:r>
        <w:rPr>
          <w:rFonts w:hint="eastAsia" w:ascii="CESI仿宋-GB2312" w:hAnsi="CESI仿宋-GB2312" w:eastAsia="CESI仿宋-GB2312" w:cs="CESI仿宋-GB2312"/>
          <w:color w:val="000000"/>
          <w:sz w:val="32"/>
          <w:szCs w:val="32"/>
          <w:lang w:val="en-US" w:eastAsia="zh-CN"/>
        </w:rPr>
        <w:t>9</w:t>
      </w:r>
      <w:r>
        <w:rPr>
          <w:rFonts w:hint="eastAsia" w:ascii="CESI仿宋-GB2312" w:hAnsi="CESI仿宋-GB2312" w:eastAsia="CESI仿宋-GB2312" w:cs="CESI仿宋-GB2312"/>
          <w:color w:val="000000"/>
          <w:sz w:val="32"/>
          <w:szCs w:val="32"/>
        </w:rPr>
        <w:t>月</w:t>
      </w:r>
      <w:r>
        <w:rPr>
          <w:rFonts w:hint="eastAsia" w:ascii="CESI仿宋-GB2312" w:hAnsi="CESI仿宋-GB2312" w:eastAsia="CESI仿宋-GB2312" w:cs="CESI仿宋-GB2312"/>
          <w:color w:val="000000"/>
          <w:sz w:val="32"/>
          <w:szCs w:val="32"/>
          <w:lang w:val="en-US" w:eastAsia="zh-CN"/>
        </w:rPr>
        <w:t>17</w:t>
      </w:r>
      <w:r>
        <w:rPr>
          <w:rFonts w:hint="eastAsia" w:ascii="CESI仿宋-GB2312" w:hAnsi="CESI仿宋-GB2312" w:eastAsia="CESI仿宋-GB2312" w:cs="CESI仿宋-GB2312"/>
          <w:color w:val="000000"/>
          <w:sz w:val="32"/>
          <w:szCs w:val="32"/>
        </w:rPr>
        <w:t>日</w:t>
      </w:r>
    </w:p>
    <w:p>
      <w:pPr>
        <w:keepNext w:val="0"/>
        <w:keepLines w:val="0"/>
        <w:pageBreakBefore w:val="0"/>
        <w:widowControl w:val="0"/>
        <w:kinsoku/>
        <w:wordWrap w:val="0"/>
        <w:overflowPunct/>
        <w:topLinePunct w:val="0"/>
        <w:autoSpaceDE/>
        <w:autoSpaceDN/>
        <w:bidi w:val="0"/>
        <w:adjustRightInd/>
        <w:snapToGrid w:val="0"/>
        <w:spacing w:line="580" w:lineRule="exact"/>
        <w:jc w:val="center"/>
        <w:textAlignment w:val="auto"/>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color w:val="000000"/>
          <w:sz w:val="32"/>
          <w:szCs w:val="32"/>
          <w:lang w:eastAsia="zh-CN"/>
        </w:rPr>
        <w:t>（我局</w:t>
      </w:r>
      <w:r>
        <w:rPr>
          <w:rFonts w:hint="eastAsia" w:ascii="CESI仿宋-GB2312" w:hAnsi="CESI仿宋-GB2312" w:eastAsia="CESI仿宋-GB2312" w:cs="CESI仿宋-GB2312"/>
          <w:color w:val="000000"/>
          <w:sz w:val="32"/>
          <w:szCs w:val="32"/>
        </w:rPr>
        <w:t>将依法向社会公示本行政处罚决定信息）</w:t>
      </w:r>
    </w:p>
    <w:p>
      <w:pPr>
        <w:keepNext w:val="0"/>
        <w:keepLines w:val="0"/>
        <w:pageBreakBefore w:val="0"/>
        <w:widowControl w:val="0"/>
        <w:kinsoku/>
        <w:wordWrap w:val="0"/>
        <w:overflowPunct/>
        <w:topLinePunct w:val="0"/>
        <w:autoSpaceDE/>
        <w:autoSpaceDN/>
        <w:bidi w:val="0"/>
        <w:adjustRightInd/>
        <w:snapToGrid/>
        <w:spacing w:line="580" w:lineRule="exact"/>
        <w:ind w:left="0" w:leftChars="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mc:AlternateContent>
          <mc:Choice Requires="wps">
            <w:drawing>
              <wp:anchor distT="0" distB="0" distL="114300" distR="114300" simplePos="0" relativeHeight="251662336" behindDoc="0" locked="0" layoutInCell="1" allowOverlap="1">
                <wp:simplePos x="0" y="0"/>
                <wp:positionH relativeFrom="column">
                  <wp:posOffset>-139065</wp:posOffset>
                </wp:positionH>
                <wp:positionV relativeFrom="paragraph">
                  <wp:posOffset>116840</wp:posOffset>
                </wp:positionV>
                <wp:extent cx="5550535" cy="63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0.95pt;margin-top:9.2pt;height:0.05pt;width:437.05pt;z-index:251662336;mso-width-relative:page;mso-height-relative:page;" filled="f" stroked="t" coordsize="21600,21600" o:gfxdata="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BTZWG52AAAAAkBAAAPAAAAAAAAAAEAIAAAADgAAABkcnMvZG93bnJldi54bWxQSwECFAAUAAAA&#10;CACHTuJACNGtpdgBAACdAwAADgAAAAAAAAABACAAAAA9AQAAZHJzL2Uyb0RvYy54bWxQSwUGAAAA&#10;AAYABgBZAQAAhwUAAAAA&#10;">
                <v:fill on="f" focussize="0,0"/>
                <v:stroke weight="1.25pt" color="#000000" joinstyle="round"/>
                <v:imagedata o:title=""/>
                <o:lock v:ext="edit" aspectratio="f"/>
              </v:line>
            </w:pict>
          </mc:Fallback>
        </mc:AlternateContent>
      </w:r>
      <w:r>
        <w:rPr>
          <w:rFonts w:hint="eastAsia" w:ascii="CESI仿宋-GB2312" w:hAnsi="CESI仿宋-GB2312" w:eastAsia="CESI仿宋-GB2312" w:cs="CESI仿宋-GB2312"/>
          <w:bCs/>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Ivv85HXAAAACgEAAA8AAAAAAAAAAQAgAAAAOAAAAGRycy9kb3ducmV2LnhtbFBLAQIUABQA&#10;AAAIAIdO4kCuYTgP2wEAAJsDAAAOAAAAAAAAAAEAIAAAADwBAABkcnMvZTJvRG9jLnhtbFBLBQYA&#10;AAAABgAGAFkBAACJBQAAAAA=&#10;">
                <v:fill on="f" focussize="0,0"/>
                <v:stroke weight="0.737007874015748pt" color="#000000" joinstyle="round" endcap="square"/>
                <v:imagedata o:title=""/>
                <o:lock v:ext="edit" aspectratio="f"/>
              </v:line>
            </w:pict>
          </mc:Fallback>
        </mc:AlternateContent>
      </w:r>
      <w:r>
        <w:rPr>
          <w:rFonts w:hint="eastAsia" w:ascii="CESI仿宋-GB2312" w:hAnsi="CESI仿宋-GB2312" w:eastAsia="CESI仿宋-GB2312" w:cs="CESI仿宋-GB2312"/>
          <w:color w:val="000000"/>
          <w:sz w:val="32"/>
          <w:szCs w:val="32"/>
        </w:rPr>
        <w:t>本文书一式</w:t>
      </w:r>
      <w:r>
        <w:rPr>
          <w:rFonts w:hint="eastAsia" w:ascii="CESI仿宋-GB2312" w:hAnsi="CESI仿宋-GB2312" w:eastAsia="CESI仿宋-GB2312" w:cs="CESI仿宋-GB2312"/>
          <w:color w:val="000000"/>
          <w:sz w:val="32"/>
          <w:szCs w:val="32"/>
          <w:u w:val="single"/>
        </w:rPr>
        <w:t xml:space="preserve"> </w:t>
      </w:r>
      <w:r>
        <w:rPr>
          <w:rFonts w:hint="eastAsia" w:ascii="CESI仿宋-GB2312" w:hAnsi="CESI仿宋-GB2312" w:eastAsia="CESI仿宋-GB2312" w:cs="CESI仿宋-GB2312"/>
          <w:color w:val="000000"/>
          <w:sz w:val="32"/>
          <w:szCs w:val="32"/>
          <w:u w:val="single"/>
          <w:lang w:eastAsia="zh-CN"/>
        </w:rPr>
        <w:t>三</w:t>
      </w:r>
      <w:r>
        <w:rPr>
          <w:rFonts w:hint="eastAsia" w:ascii="CESI仿宋-GB2312" w:hAnsi="CESI仿宋-GB2312" w:eastAsia="CESI仿宋-GB2312" w:cs="CESI仿宋-GB2312"/>
          <w:color w:val="000000"/>
          <w:sz w:val="32"/>
          <w:szCs w:val="32"/>
          <w:u w:val="single"/>
        </w:rPr>
        <w:t xml:space="preserve"> </w:t>
      </w:r>
      <w:r>
        <w:rPr>
          <w:rFonts w:hint="eastAsia" w:ascii="CESI仿宋-GB2312" w:hAnsi="CESI仿宋-GB2312" w:eastAsia="CESI仿宋-GB2312" w:cs="CESI仿宋-GB2312"/>
          <w:color w:val="000000"/>
          <w:sz w:val="32"/>
          <w:szCs w:val="32"/>
        </w:rPr>
        <w:t>份，</w:t>
      </w:r>
      <w:r>
        <w:rPr>
          <w:rFonts w:hint="eastAsia" w:ascii="CESI仿宋-GB2312" w:hAnsi="CESI仿宋-GB2312" w:eastAsia="CESI仿宋-GB2312" w:cs="CESI仿宋-GB2312"/>
          <w:color w:val="000000"/>
          <w:sz w:val="32"/>
          <w:szCs w:val="32"/>
          <w:u w:val="single"/>
          <w:lang w:eastAsia="zh-CN"/>
        </w:rPr>
        <w:t>一</w:t>
      </w:r>
      <w:r>
        <w:rPr>
          <w:rFonts w:hint="eastAsia" w:ascii="CESI仿宋-GB2312" w:hAnsi="CESI仿宋-GB2312" w:eastAsia="CESI仿宋-GB2312" w:cs="CESI仿宋-GB2312"/>
          <w:color w:val="000000"/>
          <w:sz w:val="32"/>
          <w:szCs w:val="32"/>
        </w:rPr>
        <w:t>份送达，</w:t>
      </w:r>
      <w:r>
        <w:rPr>
          <w:rFonts w:hint="eastAsia" w:ascii="CESI仿宋-GB2312" w:hAnsi="CESI仿宋-GB2312" w:eastAsia="CESI仿宋-GB2312" w:cs="CESI仿宋-GB2312"/>
          <w:color w:val="000000"/>
          <w:sz w:val="32"/>
          <w:szCs w:val="32"/>
          <w:u w:val="single"/>
        </w:rPr>
        <w:t>一</w:t>
      </w:r>
      <w:r>
        <w:rPr>
          <w:rFonts w:hint="eastAsia" w:ascii="CESI仿宋-GB2312" w:hAnsi="CESI仿宋-GB2312" w:eastAsia="CESI仿宋-GB2312" w:cs="CESI仿宋-GB2312"/>
          <w:color w:val="000000"/>
          <w:sz w:val="32"/>
          <w:szCs w:val="32"/>
        </w:rPr>
        <w:t>份归档，</w:t>
      </w:r>
      <w:r>
        <w:rPr>
          <w:rFonts w:hint="eastAsia" w:ascii="CESI仿宋-GB2312" w:hAnsi="CESI仿宋-GB2312" w:eastAsia="CESI仿宋-GB2312" w:cs="CESI仿宋-GB2312"/>
          <w:color w:val="000000"/>
          <w:sz w:val="32"/>
          <w:szCs w:val="32"/>
          <w:u w:val="none"/>
        </w:rPr>
        <w:t xml:space="preserve"> </w:t>
      </w:r>
      <w:r>
        <w:rPr>
          <w:rFonts w:hint="eastAsia" w:ascii="CESI仿宋-GB2312" w:hAnsi="CESI仿宋-GB2312" w:eastAsia="CESI仿宋-GB2312" w:cs="CESI仿宋-GB2312"/>
          <w:color w:val="000000"/>
          <w:sz w:val="32"/>
          <w:szCs w:val="32"/>
          <w:u w:val="single"/>
          <w:lang w:eastAsia="zh-CN"/>
        </w:rPr>
        <w:t>一</w:t>
      </w:r>
      <w:r>
        <w:rPr>
          <w:rFonts w:hint="eastAsia" w:ascii="CESI仿宋-GB2312" w:hAnsi="CESI仿宋-GB2312" w:eastAsia="CESI仿宋-GB2312" w:cs="CESI仿宋-GB2312"/>
          <w:color w:val="000000"/>
          <w:sz w:val="32"/>
          <w:szCs w:val="32"/>
          <w:u w:val="none"/>
          <w:lang w:eastAsia="zh-CN"/>
        </w:rPr>
        <w:t>份留底</w:t>
      </w:r>
      <w:r>
        <w:rPr>
          <w:rFonts w:hint="eastAsia" w:ascii="CESI仿宋-GB2312" w:hAnsi="CESI仿宋-GB2312" w:eastAsia="CESI仿宋-GB2312" w:cs="CESI仿宋-GB2312"/>
          <w:color w:val="000000"/>
          <w:sz w:val="32"/>
          <w:szCs w:val="32"/>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文泉驿微米黑"/>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文泉驿微米黑"/>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文泉驿微米黑"/>
    <w:panose1 w:val="02010609060101010101"/>
    <w:charset w:val="86"/>
    <w:family w:val="modern"/>
    <w:pitch w:val="default"/>
    <w:sig w:usb0="00000000" w:usb1="00000000" w:usb2="00000016" w:usb3="00000000" w:csb0="00040001" w:csb1="00000000"/>
  </w:font>
  <w:font w:name="文泉驿微米黑">
    <w:panose1 w:val="020B0606030804020204"/>
    <w:charset w:val="86"/>
    <w:family w:val="auto"/>
    <w:pitch w:val="default"/>
    <w:sig w:usb0="E10002EF" w:usb1="6BDFFCFB" w:usb2="00800036" w:usb3="00000000" w:csb0="603E019F" w:csb1="DFD70000"/>
  </w:font>
  <w:font w:name="CESI仿宋-GB2312">
    <w:panose1 w:val="02000500000000000000"/>
    <w:charset w:val="86"/>
    <w:family w:val="auto"/>
    <w:pitch w:val="default"/>
    <w:sig w:usb0="800002AF" w:usb1="084F6CF8" w:usb2="00000010" w:usb3="00000000" w:csb0="0004000F" w:csb1="00000000"/>
  </w:font>
  <w:font w:name="CESI仿宋-GB13000">
    <w:panose1 w:val="02000500000000000000"/>
    <w:charset w:val="86"/>
    <w:family w:val="auto"/>
    <w:pitch w:val="default"/>
    <w:sig w:usb0="800002BF" w:usb1="18CF7CF8" w:usb2="00000016" w:usb3="00000000" w:csb0="0004000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951A5D"/>
    <w:rsid w:val="02D568CE"/>
    <w:rsid w:val="0DA82202"/>
    <w:rsid w:val="0FBF1DFA"/>
    <w:rsid w:val="1299763A"/>
    <w:rsid w:val="13951A5D"/>
    <w:rsid w:val="1777B07C"/>
    <w:rsid w:val="1F352B52"/>
    <w:rsid w:val="214F23CD"/>
    <w:rsid w:val="23AFD974"/>
    <w:rsid w:val="36F4C556"/>
    <w:rsid w:val="36FE6E0C"/>
    <w:rsid w:val="3C340AB4"/>
    <w:rsid w:val="43941E63"/>
    <w:rsid w:val="452C208B"/>
    <w:rsid w:val="4D9C59BC"/>
    <w:rsid w:val="5678B25B"/>
    <w:rsid w:val="56D41464"/>
    <w:rsid w:val="56EE168E"/>
    <w:rsid w:val="577A0985"/>
    <w:rsid w:val="57F2E2F8"/>
    <w:rsid w:val="5BBE274E"/>
    <w:rsid w:val="5DB69487"/>
    <w:rsid w:val="5E961D41"/>
    <w:rsid w:val="6CA0320D"/>
    <w:rsid w:val="6D6A2713"/>
    <w:rsid w:val="6FE58484"/>
    <w:rsid w:val="72DED373"/>
    <w:rsid w:val="77FD2B6B"/>
    <w:rsid w:val="7B5FC468"/>
    <w:rsid w:val="7F7F8EDF"/>
    <w:rsid w:val="7FAEE4FB"/>
    <w:rsid w:val="7FC76173"/>
    <w:rsid w:val="7FEF00D9"/>
    <w:rsid w:val="7FFFB510"/>
    <w:rsid w:val="9FC67D3C"/>
    <w:rsid w:val="BEFE4861"/>
    <w:rsid w:val="D4B7BE53"/>
    <w:rsid w:val="DFFF8A38"/>
    <w:rsid w:val="F73FDD89"/>
    <w:rsid w:val="F75F048E"/>
    <w:rsid w:val="FADEC6A5"/>
    <w:rsid w:val="FDF66582"/>
    <w:rsid w:val="FDFFAC29"/>
    <w:rsid w:val="FE7D4C3E"/>
    <w:rsid w:val="FEFF2A59"/>
    <w:rsid w:val="FFA9B452"/>
    <w:rsid w:val="FFCF5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pPr>
    <w:rPr>
      <w:rFonts w:ascii="仿宋" w:hAnsi="仿宋" w:eastAsia="仿宋"/>
      <w:sz w:val="30"/>
      <w:szCs w:val="30"/>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NormalCharacter"/>
    <w:qFormat/>
    <w:uiPriority w:val="0"/>
    <w:rPr>
      <w:rFonts w:ascii="Times New Roman" w:hAnsi="Times New Roman" w:eastAsia="宋体"/>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2021-10-27T06:38:00Z</dcterms:created>
  <dc:creator>詹德忠/fjfda</dc:creator>
  <cp:lastModifiedBy>魏一平</cp:lastModifiedBy>
  <cp:lastPrinted>2022-08-27T17:26:00Z</cp:lastPrinted>
  <dcterms:modified xsi:type="dcterms:W3CDTF">2025-09-23T09:26:11Z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74281CA161B44D7B8630A1555673DAA1</vt:lpwstr>
  </property>
</Properties>
</file>