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方正小标宋简体" w:hAnsi="方正小标宋简体" w:eastAsia="方正小标宋简体" w:cs="方正小标宋简体"/>
          <w:spacing w:val="0"/>
          <w:w w:val="100"/>
          <w:lang w:val="en-US" w:eastAsia="zh-CN"/>
        </w:rPr>
      </w:pPr>
      <w:r>
        <w:rPr>
          <w:rFonts w:hint="eastAsia" w:ascii="方正小标宋简体" w:hAnsi="方正小标宋简体" w:eastAsia="方正小标宋简体" w:cs="方正小标宋简体"/>
          <w:spacing w:val="0"/>
          <w:w w:val="100"/>
        </w:rPr>
        <w:t>福建省药品监督管理局</w:t>
      </w: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方正小标宋简体" w:hAnsi="方正小标宋简体" w:eastAsia="方正小标宋简体" w:cs="方正小标宋简体"/>
          <w:spacing w:val="0"/>
          <w:w w:val="100"/>
        </w:rPr>
      </w:pPr>
      <w:r>
        <w:rPr>
          <w:rFonts w:hint="eastAsia" w:ascii="方正小标宋简体" w:hAnsi="方正小标宋简体" w:eastAsia="方正小标宋简体" w:cs="方正小标宋简体"/>
          <w:spacing w:val="0"/>
          <w:w w:val="100"/>
        </w:rPr>
        <w:t>行政处罚决定书</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jc w:val="center"/>
        <w:textAlignment w:val="baseline"/>
        <w:rPr>
          <w:sz w:val="32"/>
          <w:szCs w:val="32"/>
        </w:rPr>
      </w:pPr>
      <w:r>
        <w:rPr>
          <w:rFonts w:hint="eastAsia" w:ascii="仿宋_GB2312" w:hAnsi="仿宋_GB2312" w:eastAsia="仿宋_GB2312" w:cs="仿宋_GB2312"/>
          <w:snapToGrid w:val="0"/>
          <w:color w:val="000000"/>
          <w:kern w:val="0"/>
          <w:sz w:val="32"/>
          <w:szCs w:val="32"/>
          <w:lang w:val="en-US" w:eastAsia="zh-CN" w:bidi="ar"/>
        </w:rPr>
        <w:t>闽药监榕稽办处罚〔2025〕8号</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before="157" w:beforeLines="50" w:after="157" w:afterLines="50" w:line="500" w:lineRule="exact"/>
        <w:jc w:val="center"/>
        <w:textAlignment w:val="baseline"/>
        <w:rPr>
          <w:rFonts w:hint="eastAsia" w:ascii="仿宋" w:hAnsi="仿宋" w:eastAsia="仿宋" w:cs="仿宋"/>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b w:val="0"/>
          <w:bCs/>
          <w:color w:val="auto"/>
          <w:sz w:val="32"/>
          <w:szCs w:val="32"/>
          <w:u w:val="none"/>
          <w:lang w:val="en-US" w:eastAsia="zh-CN"/>
        </w:rPr>
        <w:t>福州海象医疗器械有限公司</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主体资格证照名称：《营业执照》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1"/>
          <w:sz w:val="32"/>
          <w:szCs w:val="32"/>
          <w:lang w:val="en-US" w:eastAsia="zh-CN"/>
        </w:rPr>
        <w:t>913501050797597051</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lang w:val="en-US" w:eastAsia="zh-CN"/>
        </w:rPr>
        <w:t>福建省福州市马尾区快安延伸区马江路1号A栋1FC区（自贸试验区内）</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联系地址：******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当事人生产的型号规格为“平头锥型”，批号为“HX202501001”的金刚砂车针，经杭州医疗器械质量监督检验中心检验，结论为不合格。</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olor w:val="auto"/>
          <w:sz w:val="32"/>
          <w:highlight w:val="none"/>
          <w:lang w:eastAsia="zh-CN"/>
        </w:rPr>
      </w:pPr>
      <w:r>
        <w:rPr>
          <w:rFonts w:hint="eastAsia" w:ascii="仿宋_GB2312" w:hAnsi="仿宋_GB2312" w:eastAsia="仿宋_GB2312"/>
          <w:color w:val="auto"/>
          <w:sz w:val="32"/>
          <w:highlight w:val="none"/>
          <w:lang w:eastAsia="zh-CN"/>
        </w:rPr>
        <w:t>经查，涉案批次产品共</w:t>
      </w:r>
      <w:r>
        <w:rPr>
          <w:rFonts w:hint="eastAsia" w:ascii="仿宋_GB2312" w:hAnsi="仿宋_GB2312" w:eastAsia="仿宋_GB2312"/>
          <w:color w:val="auto"/>
          <w:sz w:val="32"/>
          <w:highlight w:val="none"/>
          <w:lang w:val="en-US" w:eastAsia="zh-CN"/>
        </w:rPr>
        <w:t>3000个，</w:t>
      </w:r>
      <w:r>
        <w:rPr>
          <w:rFonts w:hint="eastAsia" w:ascii="仿宋_GB2312" w:hAnsi="仿宋_GB2312" w:eastAsia="仿宋_GB2312"/>
          <w:color w:val="auto"/>
          <w:sz w:val="32"/>
          <w:highlight w:val="none"/>
          <w:lang w:eastAsia="zh-CN"/>
        </w:rPr>
        <w:t>总货值金额为</w:t>
      </w:r>
      <w:r>
        <w:rPr>
          <w:rFonts w:hint="eastAsia" w:ascii="仿宋_GB2312" w:hAnsi="仿宋_GB2312" w:eastAsia="仿宋_GB2312" w:cs="仿宋_GB2312"/>
          <w:color w:val="auto"/>
          <w:sz w:val="32"/>
          <w:szCs w:val="32"/>
          <w:highlight w:val="none"/>
          <w:u w:val="none"/>
          <w:lang w:val="en-US" w:eastAsia="zh-CN"/>
        </w:rPr>
        <w:t>16340元，其中</w:t>
      </w:r>
      <w:r>
        <w:rPr>
          <w:rFonts w:hint="eastAsia" w:ascii="仿宋_GB2312" w:hAnsi="仿宋_GB2312" w:eastAsia="仿宋_GB2312"/>
          <w:color w:val="auto"/>
          <w:sz w:val="32"/>
          <w:highlight w:val="none"/>
          <w:lang w:eastAsia="zh-CN"/>
        </w:rPr>
        <w:t>实际销售总金额为</w:t>
      </w:r>
      <w:r>
        <w:rPr>
          <w:rFonts w:hint="eastAsia" w:ascii="仿宋_GB2312" w:hAnsi="仿宋_GB2312" w:eastAsia="仿宋_GB2312"/>
          <w:color w:val="auto"/>
          <w:sz w:val="32"/>
          <w:highlight w:val="none"/>
          <w:lang w:val="en-US" w:eastAsia="zh-CN"/>
        </w:rPr>
        <w:t>4912.5</w:t>
      </w:r>
      <w:r>
        <w:rPr>
          <w:rFonts w:hint="eastAsia" w:ascii="仿宋_GB2312" w:hAnsi="仿宋_GB2312" w:eastAsia="仿宋_GB2312"/>
          <w:color w:val="auto"/>
          <w:sz w:val="32"/>
          <w:highlight w:val="none"/>
          <w:lang w:eastAsia="zh-CN"/>
        </w:rPr>
        <w:t>元</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olor w:val="auto"/>
          <w:sz w:val="32"/>
          <w:highlight w:val="none"/>
          <w:lang w:eastAsia="zh-CN"/>
        </w:rPr>
        <w:t>当事人共召回</w:t>
      </w:r>
      <w:r>
        <w:rPr>
          <w:rFonts w:hint="eastAsia" w:ascii="仿宋_GB2312" w:hAnsi="仿宋_GB2312" w:eastAsia="仿宋_GB2312"/>
          <w:color w:val="auto"/>
          <w:sz w:val="32"/>
          <w:highlight w:val="none"/>
          <w:lang w:val="en-US" w:eastAsia="zh-CN"/>
        </w:rPr>
        <w:t>1592个</w:t>
      </w:r>
      <w:r>
        <w:rPr>
          <w:rFonts w:hint="eastAsia" w:ascii="仿宋_GB2312" w:hAnsi="仿宋_GB2312" w:eastAsia="仿宋_GB2312" w:cs="仿宋_GB2312"/>
          <w:color w:val="auto"/>
          <w:sz w:val="32"/>
          <w:szCs w:val="32"/>
          <w:lang w:val="en-US" w:eastAsia="zh-CN"/>
        </w:rPr>
        <w:t>金刚砂车针</w:t>
      </w:r>
      <w:r>
        <w:rPr>
          <w:rFonts w:hint="eastAsia" w:ascii="仿宋_GB2312" w:hAnsi="仿宋_GB2312" w:eastAsia="仿宋_GB2312"/>
          <w:color w:val="auto"/>
          <w:sz w:val="32"/>
          <w:highlight w:val="none"/>
          <w:lang w:eastAsia="zh-CN"/>
        </w:rPr>
        <w:t>，本案当事人违法所得为</w:t>
      </w:r>
      <w:r>
        <w:rPr>
          <w:rFonts w:hint="eastAsia" w:ascii="仿宋_GB2312" w:hAnsi="仿宋_GB2312" w:eastAsia="仿宋_GB2312"/>
          <w:color w:val="auto"/>
          <w:sz w:val="32"/>
          <w:highlight w:val="none"/>
          <w:lang w:val="en-US" w:eastAsia="zh-CN"/>
        </w:rPr>
        <w:t>4912.5</w:t>
      </w:r>
      <w:r>
        <w:rPr>
          <w:rFonts w:hint="eastAsia" w:ascii="仿宋_GB2312" w:hAnsi="仿宋_GB2312" w:eastAsia="仿宋_GB2312"/>
          <w:color w:val="auto"/>
          <w:sz w:val="32"/>
          <w:highlight w:val="none"/>
          <w:lang w:eastAsia="zh-CN"/>
        </w:rPr>
        <w:t>元。</w:t>
      </w:r>
      <w:r>
        <w:rPr>
          <w:rFonts w:hint="eastAsia" w:ascii="仿宋_GB2312" w:hAnsi="仿宋_GB2312" w:eastAsia="仿宋_GB2312" w:cs="仿宋_GB2312"/>
          <w:color w:val="000000"/>
          <w:sz w:val="32"/>
          <w:szCs w:val="32"/>
          <w:lang w:eastAsia="zh-CN"/>
        </w:rPr>
        <w:t>当事人生产不符合经注册的产品技术要求的</w:t>
      </w:r>
      <w:r>
        <w:rPr>
          <w:rFonts w:hint="eastAsia" w:ascii="仿宋_GB2312" w:hAnsi="仿宋_GB2312" w:eastAsia="仿宋_GB2312" w:cs="仿宋_GB2312"/>
          <w:color w:val="000000"/>
          <w:sz w:val="32"/>
          <w:szCs w:val="32"/>
        </w:rPr>
        <w:t>医疗器械</w:t>
      </w:r>
      <w:r>
        <w:rPr>
          <w:rFonts w:hint="eastAsia" w:ascii="仿宋_GB2312" w:hAnsi="仿宋_GB2312" w:eastAsia="仿宋_GB2312" w:cs="仿宋_GB2312"/>
          <w:color w:val="000000"/>
          <w:sz w:val="32"/>
          <w:szCs w:val="32"/>
          <w:lang w:eastAsia="zh-CN"/>
        </w:rPr>
        <w:t>的行为成立。</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本局福州药品稽查办公室于202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9</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日将</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行政处罚告知书</w:t>
      </w:r>
      <w:r>
        <w:rPr>
          <w:rFonts w:hint="eastAsia" w:ascii="仿宋_GB2312" w:hAnsi="仿宋_GB2312" w:eastAsia="仿宋_GB2312" w:cs="仿宋_GB2312"/>
          <w:bCs/>
          <w:color w:val="auto"/>
          <w:sz w:val="32"/>
          <w:szCs w:val="32"/>
          <w:lang w:eastAsia="zh-CN"/>
        </w:rPr>
        <w:t>》（闽药监榕稽办罚告〔202</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lang w:eastAsia="zh-CN"/>
        </w:rPr>
        <w:t>号）</w:t>
      </w:r>
      <w:r>
        <w:rPr>
          <w:rFonts w:hint="eastAsia" w:ascii="仿宋_GB2312" w:hAnsi="仿宋_GB2312" w:eastAsia="仿宋_GB2312" w:cs="仿宋_GB2312"/>
          <w:bCs/>
          <w:color w:val="auto"/>
          <w:sz w:val="32"/>
          <w:szCs w:val="32"/>
        </w:rPr>
        <w:t>送达当事人，并告知企业有陈述申辩的权利。当事人在法定期限内未提起陈述和申辩。</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本局认为当事人系初次违法、涉案产品风险性低或者社会危害性小且积极采取召回措施，符合《福建省药品监管行政处罚裁量适用细则》中第十一条第一款第七项、第八项、第十项的情形，根据《福建省药品监管行政处罚裁量适用细则》第十一条第一款的规定，依法予以从轻行政处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当事人生产不符合经注册的产品技术要求的</w:t>
      </w:r>
      <w:r>
        <w:rPr>
          <w:rFonts w:hint="eastAsia" w:ascii="仿宋_GB2312" w:hAnsi="仿宋_GB2312" w:eastAsia="仿宋_GB2312" w:cs="仿宋_GB2312"/>
          <w:color w:val="000000"/>
          <w:sz w:val="32"/>
          <w:szCs w:val="32"/>
        </w:rPr>
        <w:t>医疗器械</w:t>
      </w:r>
      <w:r>
        <w:rPr>
          <w:rFonts w:hint="eastAsia" w:ascii="仿宋_GB2312" w:hAnsi="仿宋_GB2312" w:eastAsia="仿宋_GB2312" w:cs="仿宋_GB2312"/>
          <w:color w:val="000000"/>
          <w:sz w:val="32"/>
          <w:szCs w:val="32"/>
          <w:lang w:val="en-US" w:eastAsia="zh-CN"/>
        </w:rPr>
        <w:t>金刚砂车针</w:t>
      </w:r>
      <w:r>
        <w:rPr>
          <w:rFonts w:hint="eastAsia" w:ascii="仿宋_GB2312" w:hAnsi="仿宋_GB2312" w:eastAsia="仿宋_GB2312" w:cs="仿宋_GB2312"/>
          <w:color w:val="000000"/>
          <w:sz w:val="32"/>
          <w:szCs w:val="32"/>
          <w:lang w:eastAsia="zh-CN"/>
        </w:rPr>
        <w:t>的行为，违反了</w:t>
      </w:r>
      <w:r>
        <w:rPr>
          <w:rFonts w:hint="eastAsia" w:ascii="仿宋_GB2312" w:hAnsi="仿宋_GB2312" w:eastAsia="仿宋_GB2312" w:cs="仿宋_GB2312"/>
          <w:color w:val="000000"/>
          <w:sz w:val="32"/>
          <w:szCs w:val="32"/>
        </w:rPr>
        <w:t>《医疗器械监督管理条例》（国务院令第739号）第</w:t>
      </w:r>
      <w:r>
        <w:rPr>
          <w:rFonts w:hint="eastAsia" w:ascii="仿宋_GB2312" w:hAnsi="仿宋_GB2312" w:eastAsia="仿宋_GB2312" w:cs="仿宋_GB2312"/>
          <w:color w:val="000000"/>
          <w:sz w:val="32"/>
          <w:szCs w:val="32"/>
          <w:lang w:eastAsia="zh-CN"/>
        </w:rPr>
        <w:t>三十五条第一款的规定，属于</w:t>
      </w:r>
      <w:r>
        <w:rPr>
          <w:rFonts w:hint="eastAsia" w:ascii="仿宋_GB2312" w:hAnsi="仿宋_GB2312" w:eastAsia="仿宋_GB2312" w:cs="仿宋_GB2312"/>
          <w:color w:val="000000"/>
          <w:sz w:val="32"/>
          <w:szCs w:val="32"/>
          <w:lang w:val="en-US" w:eastAsia="zh-CN"/>
        </w:rPr>
        <w:t>《医疗器械监督管理条例》（国务院令第739号）第八十六条</w:t>
      </w:r>
      <w:r>
        <w:rPr>
          <w:rFonts w:hint="eastAsia" w:ascii="仿宋_GB2312" w:hAnsi="仿宋_GB2312" w:eastAsia="仿宋_GB2312" w:cs="仿宋_GB2312"/>
          <w:color w:val="000000"/>
          <w:sz w:val="32"/>
          <w:szCs w:val="32"/>
          <w:lang w:eastAsia="zh-CN"/>
        </w:rPr>
        <w:t>第</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项情形，根据《中华人民共和国行政处罚法》第二十八条第二款、</w:t>
      </w:r>
      <w:r>
        <w:rPr>
          <w:rFonts w:hint="eastAsia" w:ascii="仿宋_GB2312" w:hAnsi="仿宋_GB2312" w:eastAsia="仿宋_GB2312" w:cs="仿宋_GB2312"/>
          <w:color w:val="000000"/>
          <w:sz w:val="32"/>
          <w:szCs w:val="32"/>
          <w:lang w:val="en-US" w:eastAsia="zh-CN"/>
        </w:rPr>
        <w:t>《医疗器械监督管理条例》（国务院令第739号）第八十六条</w:t>
      </w:r>
      <w:r>
        <w:rPr>
          <w:rFonts w:hint="eastAsia" w:ascii="仿宋_GB2312" w:hAnsi="仿宋_GB2312" w:eastAsia="仿宋_GB2312" w:cs="仿宋_GB2312"/>
          <w:color w:val="000000"/>
          <w:sz w:val="32"/>
          <w:szCs w:val="32"/>
          <w:lang w:eastAsia="zh-CN"/>
        </w:rPr>
        <w:t>的规定</w:t>
      </w:r>
      <w:r>
        <w:rPr>
          <w:rFonts w:hint="eastAsia" w:ascii="仿宋_GB2312" w:hAnsi="仿宋_GB2312" w:eastAsia="仿宋_GB2312" w:cs="仿宋_GB2312"/>
          <w:color w:val="000000"/>
          <w:sz w:val="32"/>
          <w:szCs w:val="32"/>
          <w:lang w:val="en-US" w:eastAsia="zh-CN"/>
        </w:rPr>
        <w:t>，责令</w:t>
      </w:r>
      <w:r>
        <w:rPr>
          <w:rFonts w:hint="eastAsia" w:ascii="仿宋_GB2312" w:hAnsi="仿宋_GB2312" w:eastAsia="仿宋_GB2312" w:cs="仿宋_GB2312"/>
          <w:color w:val="000000"/>
          <w:sz w:val="32"/>
          <w:szCs w:val="32"/>
          <w:lang w:eastAsia="zh-CN"/>
        </w:rPr>
        <w:t>当事人改正违法行为并处罚如下：</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没收违法所得4912.5元；</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没收</w:t>
      </w:r>
      <w:r>
        <w:rPr>
          <w:rFonts w:hint="eastAsia" w:ascii="仿宋_GB2312" w:hAnsi="仿宋_GB2312" w:eastAsia="仿宋_GB2312" w:cs="仿宋_GB2312"/>
          <w:color w:val="000000"/>
          <w:sz w:val="32"/>
          <w:szCs w:val="32"/>
        </w:rPr>
        <w:t>不符合经注册的产品技术要求</w:t>
      </w:r>
      <w:r>
        <w:rPr>
          <w:rFonts w:hint="eastAsia" w:ascii="仿宋_GB2312" w:hAnsi="仿宋_GB2312" w:eastAsia="仿宋_GB2312" w:cs="仿宋_GB2312"/>
          <w:color w:val="000000"/>
          <w:sz w:val="32"/>
          <w:szCs w:val="32"/>
          <w:lang w:val="en-US" w:eastAsia="zh-CN"/>
        </w:rPr>
        <w:t>的金刚砂车针（型号规格：平头锥型，批号：HX202501001）1592个；</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处违法生产医疗器械货值金额5.1倍的罚款，即83334元</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以上罚没款共计</w:t>
      </w:r>
      <w:r>
        <w:rPr>
          <w:rFonts w:hint="eastAsia" w:ascii="仿宋_GB2312" w:hAnsi="仿宋_GB2312" w:eastAsia="仿宋_GB2312" w:cs="仿宋_GB2312"/>
          <w:color w:val="000000"/>
          <w:sz w:val="32"/>
          <w:szCs w:val="32"/>
          <w:lang w:val="en-US" w:eastAsia="zh-CN"/>
        </w:rPr>
        <w:t>88246.5元。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当事人</w:t>
      </w:r>
      <w:r>
        <w:rPr>
          <w:rFonts w:hint="eastAsia" w:ascii="仿宋_GB2312" w:hAnsi="仿宋_GB2312" w:eastAsia="仿宋_GB2312" w:cs="仿宋_GB2312"/>
          <w:color w:val="000000"/>
          <w:sz w:val="32"/>
          <w:szCs w:val="32"/>
          <w:lang w:eastAsia="zh-CN"/>
        </w:rPr>
        <w:t>应在</w:t>
      </w:r>
      <w:r>
        <w:rPr>
          <w:rFonts w:hint="eastAsia" w:ascii="仿宋_GB2312" w:hAnsi="仿宋_GB2312" w:eastAsia="仿宋_GB2312" w:cs="仿宋_GB2312"/>
          <w:color w:val="000000"/>
          <w:sz w:val="32"/>
          <w:szCs w:val="32"/>
        </w:rPr>
        <w:t>接到本行政处罚决定之日起15日内至福建省药品监督管理局福州药品稽查办公室开具行政罚没收据，至各银行网点缴纳并将缴纳凭证送交我局。到期不缴纳罚款的，依据《中华人民共和国行政处罚法》第</w:t>
      </w:r>
      <w:r>
        <w:rPr>
          <w:rFonts w:hint="eastAsia" w:ascii="仿宋_GB2312" w:hAnsi="仿宋_GB2312" w:eastAsia="仿宋_GB2312" w:cs="仿宋_GB2312"/>
          <w:color w:val="000000"/>
          <w:sz w:val="32"/>
          <w:szCs w:val="32"/>
          <w:lang w:eastAsia="zh-CN"/>
        </w:rPr>
        <w:t>七十二</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eastAsia="zh-CN"/>
        </w:rPr>
        <w:t>第一项</w:t>
      </w:r>
      <w:r>
        <w:rPr>
          <w:rFonts w:hint="eastAsia" w:ascii="仿宋_GB2312" w:hAnsi="仿宋_GB2312" w:eastAsia="仿宋_GB2312" w:cs="仿宋_GB2312"/>
          <w:color w:val="000000"/>
          <w:sz w:val="32"/>
          <w:szCs w:val="32"/>
        </w:rPr>
        <w:t>的规定，本局将每日按罚款数额的百分之三加处罚款，并依法申请人民法院强制执行。</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如当事人不服本决定，可以在收到本决定书之日起六十日内向福建省人民政府申请行政复议；也可以在六个月内依法向鼓楼区人民法院提起行政诉讼。</w:t>
      </w:r>
      <w:r>
        <w:rPr>
          <w:rFonts w:hint="eastAsia" w:ascii="仿宋_GB2312" w:hAnsi="仿宋_GB2312" w:eastAsia="仿宋_GB2312" w:cs="仿宋_GB2312"/>
          <w:color w:val="000000"/>
          <w:sz w:val="32"/>
          <w:szCs w:val="32"/>
        </w:rPr>
        <w:t>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widowControl/>
        <w:tabs>
          <w:tab w:val="left" w:pos="5667"/>
        </w:tabs>
        <w:kinsoku w:val="0"/>
        <w:wordWrap w:val="0"/>
        <w:overflowPunct/>
        <w:topLinePunct w:val="0"/>
        <w:autoSpaceDE w:val="0"/>
        <w:autoSpaceDN w:val="0"/>
        <w:bidi/>
        <w:adjustRightInd w:val="0"/>
        <w:snapToGrid w:val="0"/>
        <w:spacing w:line="560" w:lineRule="exact"/>
        <w:ind w:left="0" w:leftChars="0" w:right="840" w:rightChars="400" w:firstLine="0" w:firstLineChars="0"/>
        <w:jc w:val="both"/>
        <w:textAlignment w:val="baseline"/>
        <w:rPr>
          <w:rFonts w:hint="eastAsia" w:ascii="仿宋_GB2312" w:hAnsi="仿宋_GB2312" w:eastAsia="仿宋_GB2312" w:cs="仿宋_GB2312"/>
          <w:color w:val="FFFFFF" w:themeColor="background1"/>
          <w:spacing w:val="0"/>
          <w:w w:val="100"/>
          <w:sz w:val="32"/>
          <w:szCs w:val="32"/>
          <w:lang w:val="en-US" w:eastAsia="zh-CN"/>
          <w14:textFill>
            <w14:solidFill>
              <w14:schemeClr w14:val="bg1"/>
            </w14:solidFill>
          </w14:textFill>
        </w:rPr>
      </w:pPr>
      <w:r>
        <w:rPr>
          <w:rFonts w:hint="eastAsia" w:ascii="仿宋_GB2312" w:hAnsi="仿宋_GB2312" w:eastAsia="仿宋_GB2312" w:cs="仿宋_GB2312"/>
          <w:spacing w:val="0"/>
          <w:w w:val="100"/>
          <w:sz w:val="32"/>
          <w:szCs w:val="32"/>
          <w:lang w:val="en-US" w:eastAsia="zh-CN"/>
        </w:rPr>
        <w:t>福建省药品监督管理局</w:t>
      </w:r>
    </w:p>
    <w:p>
      <w:pPr>
        <w:keepNext w:val="0"/>
        <w:keepLines w:val="0"/>
        <w:pageBreakBefore w:val="0"/>
        <w:widowControl/>
        <w:suppressLineNumbers w:val="0"/>
        <w:kinsoku w:val="0"/>
        <w:overflowPunct/>
        <w:topLinePunct w:val="0"/>
        <w:autoSpaceDE w:val="0"/>
        <w:autoSpaceDN w:val="0"/>
        <w:adjustRightInd w:val="0"/>
        <w:snapToGrid w:val="0"/>
        <w:spacing w:line="560" w:lineRule="exact"/>
        <w:ind w:firstLine="5440" w:firstLineChars="1700"/>
        <w:jc w:val="both"/>
        <w:textAlignment w:val="baseline"/>
        <w:rPr>
          <w:rFonts w:hint="default" w:ascii="仿宋_GB2312" w:hAnsi="仿宋_GB2312" w:eastAsia="仿宋" w:cs="仿宋_GB2312"/>
          <w:snapToGrid w:val="0"/>
          <w:color w:val="000000"/>
          <w:kern w:val="0"/>
          <w:sz w:val="31"/>
          <w:szCs w:val="31"/>
          <w:lang w:val="en-US" w:eastAsia="zh-CN" w:bidi="ar"/>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 xml:space="preserve">9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15 </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b/>
          <w:bCs/>
          <w:spacing w:val="0"/>
          <w:w w:val="100"/>
          <w:sz w:val="28"/>
          <w:szCs w:val="28"/>
          <w:u w:val="none"/>
          <w:lang w:val="en-US" w:eastAsia="zh-CN"/>
        </w:rPr>
      </w:pPr>
      <w:r>
        <w:rPr>
          <w:rFonts w:hint="eastAsia" w:ascii="仿宋_GB2312" w:hAnsi="仿宋_GB2312" w:eastAsia="仿宋_GB2312" w:cs="仿宋_GB2312"/>
          <w:color w:val="000000"/>
          <w:sz w:val="32"/>
          <w:szCs w:val="32"/>
          <w:lang w:val="en-US" w:eastAsia="zh-CN"/>
        </w:rPr>
        <w:t>（本局将依法向社会公开行政处罚决定信息）</w:t>
      </w:r>
    </w:p>
    <w:p>
      <w:pPr>
        <w:spacing w:line="26" w:lineRule="exact"/>
        <w:textAlignment w:val="center"/>
        <w:rPr>
          <w:spacing w:val="0"/>
          <w:w w:val="100"/>
        </w:rPr>
      </w:pPr>
      <w:r>
        <w:rPr>
          <w:spacing w:val="0"/>
          <w:w w:val="100"/>
        </w:rPr>
        <w:drawing>
          <wp:inline distT="0" distB="0" distL="0" distR="0">
            <wp:extent cx="5550535" cy="15875"/>
            <wp:effectExtent l="0" t="0" r="12065" b="6985"/>
            <wp:docPr id="229" name="IM 229"/>
            <wp:cNvGraphicFramePr/>
            <a:graphic xmlns:a="http://schemas.openxmlformats.org/drawingml/2006/main">
              <a:graphicData uri="http://schemas.openxmlformats.org/drawingml/2006/picture">
                <pic:pic xmlns:pic="http://schemas.openxmlformats.org/drawingml/2006/picture">
                  <pic:nvPicPr>
                    <pic:cNvPr id="229" name="IM 229"/>
                    <pic:cNvPicPr/>
                  </pic:nvPicPr>
                  <pic:blipFill>
                    <a:blip r:embed="rId6"/>
                    <a:stretch>
                      <a:fillRect/>
                    </a:stretch>
                  </pic:blipFill>
                  <pic:spPr>
                    <a:xfrm>
                      <a:off x="0" y="0"/>
                      <a:ext cx="5550535" cy="16509"/>
                    </a:xfrm>
                    <a:prstGeom prst="rect">
                      <a:avLst/>
                    </a:prstGeom>
                    <a:solidFill>
                      <a:schemeClr val="tx1"/>
                    </a:solidFill>
                  </pic:spPr>
                </pic:pic>
              </a:graphicData>
            </a:graphic>
          </wp:inline>
        </w:drawing>
      </w:r>
    </w:p>
    <w:p>
      <w:pPr>
        <w:keepNext w:val="0"/>
        <w:keepLines w:val="0"/>
        <w:pageBreakBefore w:val="0"/>
        <w:widowControl w:val="0"/>
        <w:kinsoku/>
        <w:wordWrap w:val="0"/>
        <w:overflowPunct/>
        <w:topLinePunct w:val="0"/>
        <w:autoSpaceDE/>
        <w:autoSpaceDN/>
        <w:bidi w:val="0"/>
        <w:adjustRightInd/>
        <w:snapToGrid/>
        <w:spacing w:line="560" w:lineRule="exact"/>
        <w:ind w:right="0"/>
        <w:textAlignment w:val="auto"/>
        <w:rPr>
          <w:rFonts w:hint="eastAsia" w:ascii="仿宋_GB2312" w:hAnsi="仿宋_GB2312" w:eastAsia="仿宋_GB2312" w:cs="仿宋_GB2312"/>
          <w:spacing w:val="0"/>
          <w:w w:val="100"/>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7" name="直接连接符 27"/>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vv85HXAAAACgEAAA8AAAAAAAAAAQAgAAAAOAAAAGRycy9kb3ducmV2LnhtbFBLAQIUABQA&#10;AAAIAIdO4kBtctfH2wEAAJsDAAAOAAAAAAAAAAEAIAAAADwBAABkcnMvZTJvRG9jLnhtbFBLBQYA&#10;AAAABgAGAFkBAACJ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份送达，一份归档，</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一份备份</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文泉驿微米黑"/>
    <w:panose1 w:val="020B0604030504040204"/>
    <w:charset w:val="88"/>
    <w:family w:val="swiss"/>
    <w:pitch w:val="default"/>
    <w:sig w:usb0="00000000" w:usb1="00000000" w:usb2="00000016" w:usb3="00000000" w:csb0="00100009" w:csb1="00000000"/>
  </w:font>
  <w:font w:name="仿宋">
    <w:altName w:val="Noto Sans CJK SC"/>
    <w:panose1 w:val="02010609060101010101"/>
    <w:charset w:val="86"/>
    <w:family w:val="modern"/>
    <w:pitch w:val="default"/>
    <w:sig w:usb0="00000000" w:usb1="00000000" w:usb2="00000016" w:usb3="00000000" w:csb0="00040001" w:csb1="00000000"/>
  </w:font>
  <w:font w:name="方正小标宋简体">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小标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Microsoft JhengHe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F2B0F"/>
    <w:multiLevelType w:val="singleLevel"/>
    <w:tmpl w:val="F62F2B0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523EB0"/>
    <w:rsid w:val="006F7CF7"/>
    <w:rsid w:val="00984DAE"/>
    <w:rsid w:val="016A6FD7"/>
    <w:rsid w:val="04293CFB"/>
    <w:rsid w:val="048605CC"/>
    <w:rsid w:val="05E10046"/>
    <w:rsid w:val="0AC44356"/>
    <w:rsid w:val="0B3440E4"/>
    <w:rsid w:val="0B754EF6"/>
    <w:rsid w:val="0D447276"/>
    <w:rsid w:val="0DBD22EC"/>
    <w:rsid w:val="0DC12675"/>
    <w:rsid w:val="10014FAA"/>
    <w:rsid w:val="11621A79"/>
    <w:rsid w:val="116E6670"/>
    <w:rsid w:val="12244F80"/>
    <w:rsid w:val="1444190A"/>
    <w:rsid w:val="14515DD5"/>
    <w:rsid w:val="1EDF2B6B"/>
    <w:rsid w:val="22813D29"/>
    <w:rsid w:val="23AD74CB"/>
    <w:rsid w:val="24392B0D"/>
    <w:rsid w:val="24B9255E"/>
    <w:rsid w:val="25205A7B"/>
    <w:rsid w:val="264E7E89"/>
    <w:rsid w:val="289A78F2"/>
    <w:rsid w:val="28F2772E"/>
    <w:rsid w:val="2A306760"/>
    <w:rsid w:val="2C545A11"/>
    <w:rsid w:val="2FA8323D"/>
    <w:rsid w:val="2FAD177C"/>
    <w:rsid w:val="30175A94"/>
    <w:rsid w:val="309D4424"/>
    <w:rsid w:val="33B26438"/>
    <w:rsid w:val="35543581"/>
    <w:rsid w:val="39B20F40"/>
    <w:rsid w:val="3AFB3A56"/>
    <w:rsid w:val="3AFE1F63"/>
    <w:rsid w:val="3C926E07"/>
    <w:rsid w:val="3CFE26EE"/>
    <w:rsid w:val="3E8D1F7B"/>
    <w:rsid w:val="3EAD5E72"/>
    <w:rsid w:val="3FCF3A24"/>
    <w:rsid w:val="414D154E"/>
    <w:rsid w:val="41913B31"/>
    <w:rsid w:val="41F53393"/>
    <w:rsid w:val="42530DE6"/>
    <w:rsid w:val="42E27DDC"/>
    <w:rsid w:val="44185E43"/>
    <w:rsid w:val="447253F1"/>
    <w:rsid w:val="452A2718"/>
    <w:rsid w:val="464F5D68"/>
    <w:rsid w:val="47BA0375"/>
    <w:rsid w:val="4AB4263E"/>
    <w:rsid w:val="526470DD"/>
    <w:rsid w:val="55F46D30"/>
    <w:rsid w:val="56AE082D"/>
    <w:rsid w:val="591F781C"/>
    <w:rsid w:val="5BF3746A"/>
    <w:rsid w:val="5C58107B"/>
    <w:rsid w:val="5C7B2FBB"/>
    <w:rsid w:val="5E457324"/>
    <w:rsid w:val="5FF7C027"/>
    <w:rsid w:val="60756EDD"/>
    <w:rsid w:val="638D6957"/>
    <w:rsid w:val="63D74F7B"/>
    <w:rsid w:val="63FE17A5"/>
    <w:rsid w:val="643D19DF"/>
    <w:rsid w:val="658B24C1"/>
    <w:rsid w:val="65CE23AE"/>
    <w:rsid w:val="66C739CD"/>
    <w:rsid w:val="69293CA2"/>
    <w:rsid w:val="696372B1"/>
    <w:rsid w:val="6A252073"/>
    <w:rsid w:val="6AB959E6"/>
    <w:rsid w:val="6BAF1C2C"/>
    <w:rsid w:val="6BE5323D"/>
    <w:rsid w:val="6C3A79B0"/>
    <w:rsid w:val="6E6B5D5B"/>
    <w:rsid w:val="6E9BBC5C"/>
    <w:rsid w:val="6FD7735F"/>
    <w:rsid w:val="751B33A8"/>
    <w:rsid w:val="77365F93"/>
    <w:rsid w:val="77D71596"/>
    <w:rsid w:val="78D37FAF"/>
    <w:rsid w:val="78EFA0EC"/>
    <w:rsid w:val="795B53DC"/>
    <w:rsid w:val="7A08324D"/>
    <w:rsid w:val="7A41719B"/>
    <w:rsid w:val="7AA03EC1"/>
    <w:rsid w:val="7C091DFF"/>
    <w:rsid w:val="7D0A7D18"/>
    <w:rsid w:val="7D5E1831"/>
    <w:rsid w:val="7DA55C93"/>
    <w:rsid w:val="7F7D0C75"/>
    <w:rsid w:val="9FB9ED36"/>
    <w:rsid w:val="BBCCF9F2"/>
    <w:rsid w:val="BC7F36DA"/>
    <w:rsid w:val="BFE9E640"/>
    <w:rsid w:val="D1F447B4"/>
    <w:rsid w:val="EDD35E01"/>
    <w:rsid w:val="EFA10AAE"/>
    <w:rsid w:val="EFBFB18E"/>
    <w:rsid w:val="FA763499"/>
    <w:rsid w:val="FDFD2480"/>
    <w:rsid w:val="FFADEF52"/>
    <w:rsid w:val="FFDD3B47"/>
    <w:rsid w:val="FFDD3EAF"/>
    <w:rsid w:val="FFFFD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199" w:lineRule="auto"/>
      <w:jc w:val="center"/>
      <w:outlineLvl w:val="0"/>
    </w:pPr>
    <w:rPr>
      <w:rFonts w:ascii="Microsoft JhengHei" w:hAnsi="Microsoft JhengHei" w:eastAsia="Microsoft JhengHei" w:cs="Microsoft JhengHei"/>
      <w:spacing w:val="-2"/>
      <w:sz w:val="44"/>
      <w:szCs w:val="44"/>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样式1"/>
    <w:basedOn w:val="1"/>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305</Words>
  <Characters>413</Characters>
  <Lines>0</Lines>
  <Paragraphs>0</Paragraphs>
  <TotalTime>2</TotalTime>
  <ScaleCrop>false</ScaleCrop>
  <LinksUpToDate>false</LinksUpToDate>
  <CharactersWithSpaces>1064</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2024-03-01T10:14:00Z</dcterms:created>
  <dc:creator>admin</dc:creator>
  <cp:lastModifiedBy>钟艳红</cp:lastModifiedBy>
  <dcterms:modified xsi:type="dcterms:W3CDTF">2025-09-15T17:05:14Z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418C01DBAB86420BB5E3D98C8368170E_12</vt:lpwstr>
  </property>
</Properties>
</file>