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eastAsia="zh-CN" w:bidi="ar"/>
        </w:rPr>
        <w:t>福建省药品监督管理局</w:t>
      </w:r>
      <w:r>
        <w:rPr>
          <w:rFonts w:hint="eastAsia" w:ascii="微软雅黑" w:hAnsi="微软雅黑" w:eastAsia="微软雅黑" w:cs="微软雅黑"/>
          <w:color w:val="000000"/>
          <w:kern w:val="0"/>
          <w:sz w:val="24"/>
          <w:shd w:val="clear" w:color="auto" w:fill="FFFFFF"/>
          <w:lang w:bidi="ar"/>
        </w:rPr>
        <w:t>行政处罚信息公开表</w:t>
      </w:r>
    </w:p>
    <w:tbl>
      <w:tblPr>
        <w:tblStyle w:val="5"/>
        <w:tblW w:w="14595" w:type="dxa"/>
        <w:tblInd w:w="0" w:type="dxa"/>
        <w:tblLayout w:type="fixed"/>
        <w:tblCellMar>
          <w:top w:w="0" w:type="dxa"/>
          <w:left w:w="0" w:type="dxa"/>
          <w:bottom w:w="0" w:type="dxa"/>
          <w:right w:w="0" w:type="dxa"/>
        </w:tblCellMar>
      </w:tblPr>
      <w:tblGrid>
        <w:gridCol w:w="290"/>
        <w:gridCol w:w="889"/>
        <w:gridCol w:w="616"/>
        <w:gridCol w:w="1095"/>
        <w:gridCol w:w="1745"/>
        <w:gridCol w:w="977"/>
        <w:gridCol w:w="2587"/>
        <w:gridCol w:w="2557"/>
        <w:gridCol w:w="1914"/>
        <w:gridCol w:w="1024"/>
        <w:gridCol w:w="901"/>
      </w:tblGrid>
      <w:tr>
        <w:tblPrEx>
          <w:tblCellMar>
            <w:top w:w="0" w:type="dxa"/>
            <w:left w:w="0" w:type="dxa"/>
            <w:bottom w:w="0" w:type="dxa"/>
            <w:right w:w="0" w:type="dxa"/>
          </w:tblCellMar>
        </w:tblPrEx>
        <w:trPr>
          <w:trHeight w:val="1148" w:hRule="atLeast"/>
        </w:trPr>
        <w:tc>
          <w:tcPr>
            <w:tcW w:w="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行政处罚决定书文号</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案件名称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违法企业名称或违法自然人姓名</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违法企业社会信用代码</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法定代表人姓名</w:t>
            </w:r>
          </w:p>
        </w:tc>
        <w:tc>
          <w:tcPr>
            <w:tcW w:w="2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主要违法事实</w:t>
            </w:r>
          </w:p>
        </w:tc>
        <w:tc>
          <w:tcPr>
            <w:tcW w:w="2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行政处罚的种类和依据</w:t>
            </w: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行政处罚的履行方式和期限</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做出处罚的机关名称和日期</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备注</w:t>
            </w:r>
          </w:p>
        </w:tc>
      </w:tr>
      <w:tr>
        <w:trPr>
          <w:trHeight w:val="492" w:hRule="atLeast"/>
        </w:trPr>
        <w:tc>
          <w:tcPr>
            <w:tcW w:w="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auto"/>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auto"/>
                <w:kern w:val="0"/>
                <w:sz w:val="24"/>
                <w:szCs w:val="24"/>
                <w:lang w:val="en-US" w:eastAsia="zh-CN" w:bidi="ar"/>
              </w:rPr>
            </w:pPr>
            <w:r>
              <w:rPr>
                <w:rFonts w:hint="eastAsia" w:ascii="CESI宋体-GB2312" w:hAnsi="CESI宋体-GB2312" w:eastAsia="CESI宋体-GB2312" w:cs="CESI宋体-GB2312"/>
                <w:i w:val="0"/>
                <w:color w:val="auto"/>
                <w:kern w:val="0"/>
                <w:sz w:val="24"/>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CESI宋体-GB2312" w:hAnsi="CESI宋体-GB2312" w:eastAsia="CESI宋体-GB2312" w:cs="CESI宋体-GB2312"/>
                <w:i w:val="0"/>
                <w:color w:val="auto"/>
                <w:kern w:val="0"/>
                <w:sz w:val="24"/>
                <w:szCs w:val="24"/>
                <w:lang w:val="en-US" w:eastAsia="zh-CN" w:bidi="ar"/>
              </w:rPr>
              <w:t>闽药监榕稽办处罚〔2024〕13号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福建广药洁达医药有限销售假药四味脾胃舒颗粒案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i w:val="0"/>
                <w:caps w:val="0"/>
                <w:color w:val="00000A"/>
                <w:spacing w:val="0"/>
                <w:sz w:val="24"/>
                <w:szCs w:val="24"/>
                <w:shd w:val="clear"/>
                <w:lang w:val="en-US" w:eastAsia="zh-CN" w:bidi="ar-SA"/>
              </w:rPr>
              <w:t>福建广药洁达医药有限公司</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i w:val="0"/>
                <w:caps w:val="0"/>
                <w:color w:val="00000A"/>
                <w:spacing w:val="0"/>
                <w:sz w:val="24"/>
                <w:szCs w:val="24"/>
                <w:shd w:val="clear"/>
                <w:lang w:val="en-US" w:eastAsia="zh-CN" w:bidi="ar-SA"/>
              </w:rPr>
            </w:pPr>
            <w:r>
              <w:rPr>
                <w:rFonts w:hint="eastAsia" w:ascii="CESI仿宋-GB2312" w:hAnsi="CESI仿宋-GB2312" w:eastAsia="CESI仿宋-GB2312" w:cs="CESI仿宋-GB2312"/>
                <w:i w:val="0"/>
                <w:caps w:val="0"/>
                <w:color w:val="00000A"/>
                <w:spacing w:val="0"/>
                <w:sz w:val="24"/>
                <w:szCs w:val="24"/>
                <w:shd w:val="clear"/>
                <w:lang w:val="en-US" w:eastAsia="zh-CN" w:bidi="ar-SA"/>
              </w:rPr>
              <w:t>9135010015444208XR</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i w:val="0"/>
                <w:caps w:val="0"/>
                <w:color w:val="00000A"/>
                <w:spacing w:val="0"/>
                <w:sz w:val="24"/>
                <w:szCs w:val="24"/>
                <w:shd w:val="clear"/>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i w:val="0"/>
                <w:caps w:val="0"/>
                <w:color w:val="00000A"/>
                <w:spacing w:val="0"/>
                <w:sz w:val="24"/>
                <w:szCs w:val="24"/>
                <w:shd w:val="clear"/>
                <w:lang w:val="en-US" w:eastAsia="zh-CN" w:bidi="ar-SA"/>
              </w:rPr>
            </w:pPr>
            <w:r>
              <w:rPr>
                <w:rFonts w:hint="eastAsia" w:ascii="CESI仿宋-GB2312" w:hAnsi="CESI仿宋-GB2312" w:eastAsia="CESI仿宋-GB2312" w:cs="CESI仿宋-GB2312"/>
                <w:i w:val="0"/>
                <w:caps w:val="0"/>
                <w:color w:val="00000A"/>
                <w:spacing w:val="0"/>
                <w:sz w:val="24"/>
                <w:szCs w:val="24"/>
                <w:shd w:val="clear"/>
                <w:lang w:val="en-US" w:eastAsia="zh-CN" w:bidi="ar-SA"/>
              </w:rPr>
              <w:t>陈志明</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仿宋-GB2312" w:hAnsi="CESI仿宋-GB2312" w:eastAsia="CESI仿宋-GB2312" w:cs="CESI仿宋-GB2312"/>
                <w:i w:val="0"/>
                <w:caps w:val="0"/>
                <w:color w:val="00000A"/>
                <w:spacing w:val="0"/>
                <w:sz w:val="24"/>
                <w:szCs w:val="24"/>
                <w:shd w:val="clear"/>
                <w:lang w:val="en-US" w:eastAsia="zh-CN" w:bidi="ar-SA"/>
              </w:rPr>
              <w:t>经调查，当事人销售的四味脾胃舒颗粒（标示生产企业：广西天天乐药业股份有限公司，包装：10克/袋x15袋/盒，批号：230780、231029）非标示生产企业广西天天乐药业股份有限公司生产，依照《中华人民共和国药品管理法》第九十八条第二款第（二）项规定，应为假药。经核实，2024年1月至2月期间，当事人共销售上述批次的四味脾胃舒颗粒22盒，销售金额1100.25元；被抽样8盒，样品费用392元，合计所得收入1492.25元。另经调查，当事人在采购、验收、储存、销售上述药品过程中，未发现异常，符合《药品管理法实施条例》第七十五条的规定。当事人上述行为违反了《中华人民共和国药品管理法》第九十八条第一款的规定。</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textAlignment w:val="auto"/>
              <w:rPr>
                <w:rFonts w:hint="eastAsia" w:ascii="CESI仿宋-GB2312" w:hAnsi="CESI仿宋-GB2312" w:eastAsia="CESI仿宋-GB2312" w:cs="CESI仿宋-GB2312"/>
                <w:i w:val="0"/>
                <w:caps w:val="0"/>
                <w:color w:val="00000A"/>
                <w:spacing w:val="0"/>
                <w:kern w:val="2"/>
                <w:sz w:val="24"/>
                <w:szCs w:val="24"/>
                <w:shd w:val="clear"/>
                <w:lang w:val="en-US" w:eastAsia="zh-CN" w:bidi="ar-SA"/>
              </w:rPr>
            </w:pPr>
            <w:r>
              <w:rPr>
                <w:rFonts w:hint="eastAsia" w:ascii="CESI仿宋-GB2312" w:hAnsi="CESI仿宋-GB2312" w:eastAsia="CESI仿宋-GB2312" w:cs="CESI仿宋-GB2312"/>
                <w:color w:val="00000A"/>
                <w:kern w:val="2"/>
                <w:sz w:val="24"/>
                <w:szCs w:val="24"/>
                <w:lang w:val="en-US" w:eastAsia="zh-CN" w:bidi="ar-SA"/>
              </w:rPr>
              <w:t>依照《行政处罚法》第二十八条，《药品管理法》第一百一十六条和《药品管理法实施条例》（2019年修正）第七十五条的规定，</w:t>
            </w:r>
            <w:r>
              <w:rPr>
                <w:rFonts w:hint="eastAsia" w:ascii="CESI仿宋-GB2312" w:hAnsi="CESI仿宋-GB2312" w:eastAsia="CESI仿宋-GB2312" w:cs="CESI仿宋-GB2312"/>
                <w:i w:val="0"/>
                <w:caps w:val="0"/>
                <w:color w:val="00000A"/>
                <w:spacing w:val="0"/>
                <w:kern w:val="2"/>
                <w:sz w:val="24"/>
                <w:szCs w:val="24"/>
                <w:shd w:val="clear"/>
                <w:lang w:val="en-US" w:eastAsia="zh-CN" w:bidi="ar-SA"/>
              </w:rPr>
              <w:t>责令当事人改正违法行为并作如下处罚：</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80" w:firstLineChars="200"/>
              <w:textAlignment w:val="auto"/>
              <w:outlineLvl w:val="9"/>
              <w:rPr>
                <w:rFonts w:hint="eastAsia" w:ascii="CESI仿宋-GB2312" w:hAnsi="CESI仿宋-GB2312" w:eastAsia="CESI仿宋-GB2312" w:cs="CESI仿宋-GB2312"/>
                <w:i w:val="0"/>
                <w:caps w:val="0"/>
                <w:color w:val="00000A"/>
                <w:spacing w:val="0"/>
                <w:kern w:val="2"/>
                <w:sz w:val="24"/>
                <w:szCs w:val="24"/>
                <w:shd w:val="clear"/>
                <w:lang w:val="en-US" w:eastAsia="zh-CN" w:bidi="ar-SA"/>
              </w:rPr>
            </w:pPr>
            <w:r>
              <w:rPr>
                <w:rFonts w:hint="eastAsia" w:ascii="CESI仿宋-GB2312" w:hAnsi="CESI仿宋-GB2312" w:eastAsia="CESI仿宋-GB2312" w:cs="CESI仿宋-GB2312"/>
                <w:i w:val="0"/>
                <w:caps w:val="0"/>
                <w:color w:val="00000A"/>
                <w:spacing w:val="0"/>
                <w:kern w:val="2"/>
                <w:sz w:val="24"/>
                <w:szCs w:val="24"/>
                <w:shd w:val="clear"/>
                <w:lang w:val="en-US" w:eastAsia="zh-CN" w:bidi="ar-SA"/>
              </w:rPr>
              <w:t>1.没收销售假药四味脾胃舒颗粒违法所得1492.25元；</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480" w:firstLineChars="200"/>
              <w:textAlignment w:val="auto"/>
              <w:rPr>
                <w:rFonts w:hint="eastAsia" w:ascii="CESI宋体-GB2312" w:hAnsi="CESI宋体-GB2312" w:eastAsia="CESI宋体-GB2312" w:cs="CESI宋体-GB2312"/>
                <w:i w:val="0"/>
                <w:color w:val="000000"/>
                <w:kern w:val="0"/>
                <w:sz w:val="24"/>
                <w:szCs w:val="24"/>
                <w:lang w:val="en-US" w:eastAsia="zh-CN" w:bidi="ar"/>
              </w:rPr>
            </w:pPr>
            <w:r>
              <w:rPr>
                <w:rFonts w:hint="eastAsia" w:ascii="CESI仿宋-GB2312" w:hAnsi="CESI仿宋-GB2312" w:eastAsia="CESI仿宋-GB2312" w:cs="CESI仿宋-GB2312"/>
                <w:i w:val="0"/>
                <w:caps w:val="0"/>
                <w:color w:val="00000A"/>
                <w:spacing w:val="0"/>
                <w:kern w:val="2"/>
                <w:sz w:val="24"/>
                <w:szCs w:val="24"/>
                <w:shd w:val="clear"/>
                <w:lang w:val="en-US" w:eastAsia="zh-CN" w:bidi="ar-SA"/>
              </w:rPr>
              <w:t>2.免于其他行政处罚。</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r>
              <w:rPr>
                <w:rFonts w:hint="eastAsia" w:ascii="CESI仿宋-GB2312" w:hAnsi="CESI仿宋-GB2312" w:eastAsia="CESI仿宋-GB2312" w:cs="CESI仿宋-GB2312"/>
                <w:color w:val="00000A"/>
                <w:kern w:val="2"/>
                <w:sz w:val="24"/>
                <w:szCs w:val="24"/>
                <w:lang w:val="en-US" w:eastAsia="zh-CN" w:bidi="ar-SA"/>
              </w:rPr>
              <w:t>当事人接到本行政处罚决定之日起15日内携福建省药品监督管理局福州药品稽查办公室开具的行政罚没缴款通知书，至各银行网点或者通过电子支付系统缴纳并将缴纳凭证送交我办。到期不缴纳罚款的，依据《中华人民共和国行政处罚法》第七十二条第一款第（一）项的规定，本办将每日按罚款数额的百分之三加处罚款，并依法申请人民法院强制执行。</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r>
              <w:rPr>
                <w:rFonts w:hint="eastAsia" w:ascii="CESI仿宋-GB2312" w:hAnsi="CESI仿宋-GB2312" w:eastAsia="CESI仿宋-GB2312" w:cs="CESI仿宋-GB2312"/>
                <w:color w:val="00000A"/>
                <w:kern w:val="2"/>
                <w:sz w:val="24"/>
                <w:szCs w:val="24"/>
                <w:lang w:val="en-US" w:eastAsia="zh-CN" w:bidi="ar-SA"/>
              </w:rPr>
              <w:t>福建省药品监督管理局福州药品稽查办公室，2024年12月17日</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2"/>
                <w:szCs w:val="22"/>
                <w:lang w:bidi="ar"/>
              </w:rPr>
            </w:pPr>
          </w:p>
        </w:tc>
      </w:tr>
    </w:tbl>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sectPr>
          <w:pgSz w:w="16838" w:h="11906" w:orient="landscape"/>
          <w:pgMar w:top="839" w:right="1440" w:bottom="839" w:left="1270" w:header="851" w:footer="992" w:gutter="0"/>
          <w:cols w:space="0" w:num="1"/>
          <w:rtlGutter w:val="0"/>
          <w:docGrid w:type="lines" w:linePitch="312" w:charSpace="0"/>
        </w:sectPr>
      </w:pPr>
      <w:r>
        <w:rPr>
          <w:rFonts w:hint="eastAsia" w:ascii="CESI宋体-GB2312" w:hAnsi="CESI宋体-GB2312" w:eastAsia="CESI宋体-GB2312" w:cs="CESI宋体-GB2312"/>
          <w:i w:val="0"/>
          <w:color w:val="000000"/>
          <w:kern w:val="0"/>
          <w:sz w:val="24"/>
          <w:szCs w:val="24"/>
          <w:lang w:val="en-US" w:eastAsia="zh-CN" w:bidi="ar"/>
        </w:rPr>
        <w:t>（提示：相关单位或者个人转载或引用药品监管部门公布的信息时，应当遵守《中华人民共和国药品管理法》等法律法规的要求，对有关药品的宣传报道应当全面、科学、客观、公正，否则将依法承当相应责任。如对信息作进一步解读，应作必要的</w:t>
      </w:r>
    </w:p>
    <w:p>
      <w:pPr>
        <w:pStyle w:val="2"/>
        <w:ind w:left="0" w:leftChars="0" w:firstLine="0" w:firstLineChars="0"/>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文泉驿微米黑" w:hAnsi="文泉驿微米黑" w:eastAsia="文泉驿微米黑" w:cs="文泉驿微米黑"/>
          <w:color w:val="000000"/>
          <w:sz w:val="32"/>
          <w:szCs w:val="32"/>
        </w:rPr>
      </w:pPr>
      <w:r>
        <w:rPr>
          <w:rFonts w:hint="eastAsia" w:ascii="文泉驿微米黑" w:hAnsi="文泉驿微米黑" w:eastAsia="文泉驿微米黑" w:cs="文泉驿微米黑"/>
          <w:bCs/>
          <w:color w:val="000000"/>
          <w:sz w:val="44"/>
          <w:szCs w:val="44"/>
          <w:lang w:eastAsia="zh-CN"/>
        </w:rPr>
        <w:t>福建省药品</w:t>
      </w:r>
      <w:r>
        <w:rPr>
          <w:rFonts w:hint="eastAsia" w:ascii="文泉驿微米黑" w:hAnsi="文泉驿微米黑" w:eastAsia="文泉驿微米黑" w:cs="文泉驿微米黑"/>
          <w:bCs/>
          <w:color w:val="000000"/>
          <w:sz w:val="44"/>
          <w:szCs w:val="44"/>
        </w:rPr>
        <w:t>监督管理局</w:t>
      </w:r>
      <w:r>
        <w:rPr>
          <w:rFonts w:hint="eastAsia" w:ascii="文泉驿微米黑" w:hAnsi="文泉驿微米黑" w:eastAsia="文泉驿微米黑" w:cs="文泉驿微米黑"/>
          <w:bCs/>
          <w:color w:val="000000"/>
          <w:sz w:val="44"/>
          <w:szCs w:val="44"/>
          <w:lang w:eastAsia="zh-CN"/>
        </w:rPr>
        <w:t>（</w:t>
      </w:r>
      <w:r>
        <w:rPr>
          <w:rFonts w:hint="eastAsia" w:ascii="文泉驿微米黑" w:hAnsi="文泉驿微米黑" w:eastAsia="文泉驿微米黑" w:cs="文泉驿微米黑"/>
          <w:bCs/>
          <w:color w:val="000000"/>
          <w:sz w:val="36"/>
          <w:szCs w:val="36"/>
          <w:lang w:eastAsia="zh-CN"/>
        </w:rPr>
        <w:t>福州药品稽查办公室</w:t>
      </w:r>
      <w:r>
        <w:rPr>
          <w:rFonts w:hint="eastAsia" w:ascii="文泉驿微米黑" w:hAnsi="文泉驿微米黑" w:eastAsia="文泉驿微米黑" w:cs="文泉驿微米黑"/>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文泉驿微米黑" w:hAnsi="文泉驿微米黑" w:eastAsia="文泉驿微米黑" w:cs="文泉驿微米黑"/>
          <w:bCs/>
          <w:color w:val="000000"/>
          <w:sz w:val="44"/>
          <w:szCs w:val="44"/>
        </w:rPr>
      </w:pPr>
      <w:r>
        <w:rPr>
          <w:rFonts w:hint="eastAsia" w:ascii="文泉驿微米黑" w:hAnsi="文泉驿微米黑" w:eastAsia="文泉驿微米黑" w:cs="文泉驿微米黑"/>
          <w:bCs/>
          <w:color w:val="000000"/>
          <w:sz w:val="44"/>
          <w:szCs w:val="44"/>
        </w:rPr>
        <w:t>行政处罚决定书</w:t>
      </w:r>
    </w:p>
    <w:p>
      <w:pPr>
        <w:keepNext w:val="0"/>
        <w:keepLines w:val="0"/>
        <w:pageBreakBefore w:val="0"/>
        <w:kinsoku/>
        <w:wordWrap/>
        <w:overflowPunct/>
        <w:topLinePunct w:val="0"/>
        <w:autoSpaceDE/>
        <w:autoSpaceDN/>
        <w:bidi w:val="0"/>
        <w:adjustRightInd/>
        <w:spacing w:line="580" w:lineRule="exact"/>
        <w:ind w:right="0" w:rightChars="0"/>
        <w:jc w:val="center"/>
        <w:textAlignment w:val="auto"/>
        <w:rPr>
          <w:rFonts w:hint="eastAsia" w:ascii="CESI仿宋-GB2312" w:hAnsi="CESI仿宋-GB2312" w:eastAsia="CESI仿宋-GB2312" w:cs="CESI仿宋-GB2312"/>
          <w:color w:val="auto"/>
          <w:kern w:val="1"/>
          <w:sz w:val="32"/>
          <w:szCs w:val="32"/>
        </w:rPr>
      </w:pPr>
      <w:r>
        <w:rPr>
          <w:rFonts w:hint="eastAsia" w:ascii="CESI仿宋-GB2312" w:hAnsi="CESI仿宋-GB2312" w:eastAsia="CESI仿宋-GB2312" w:cs="CESI仿宋-GB2312"/>
          <w:color w:val="auto"/>
          <w:kern w:val="1"/>
          <w:sz w:val="32"/>
          <w:szCs w:val="32"/>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8480;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LXiia2gAAAAsBAAAPAAAAAAAAAAEAIAAAADgAAABkcnMv&#10;ZG93bnJldi54bWxQSwECFAAUAAAACACHTuJAvZ9biusBAACuAwAADgAAAAAAAAABACAAAAA/AQAA&#10;ZHJzL2Uyb0RvYy54bWxQSwUGAAAAAAYABgBZAQAAnAUAAAAA&#10;">
                <v:fill on="f" focussize="0,0"/>
                <v:stroke weight="1.5pt" color="#000000" joinstyle="round" endcap="square"/>
                <v:imagedata o:title=""/>
                <o:lock v:ext="edit" aspectratio="f"/>
              </v:shape>
            </w:pict>
          </mc:Fallback>
        </mc:AlternateContent>
      </w:r>
      <w:r>
        <w:rPr>
          <w:rFonts w:hint="eastAsia" w:ascii="CESI仿宋-GB2312" w:hAnsi="CESI仿宋-GB2312" w:eastAsia="CESI仿宋-GB2312" w:cs="CESI仿宋-GB2312"/>
          <w:color w:val="auto"/>
          <w:kern w:val="1"/>
          <w:sz w:val="32"/>
          <w:szCs w:val="32"/>
          <w:lang w:eastAsia="zh-CN"/>
        </w:rPr>
        <w:t>闽药</w:t>
      </w:r>
      <w:r>
        <w:rPr>
          <w:rFonts w:hint="eastAsia" w:ascii="CESI仿宋-GB2312" w:hAnsi="CESI仿宋-GB2312" w:eastAsia="CESI仿宋-GB2312" w:cs="CESI仿宋-GB2312"/>
          <w:color w:val="auto"/>
          <w:kern w:val="1"/>
          <w:sz w:val="32"/>
          <w:szCs w:val="32"/>
        </w:rPr>
        <w:t>监</w:t>
      </w:r>
      <w:r>
        <w:rPr>
          <w:rFonts w:hint="eastAsia" w:ascii="CESI仿宋-GB2312" w:hAnsi="CESI仿宋-GB2312" w:eastAsia="CESI仿宋-GB2312" w:cs="CESI仿宋-GB2312"/>
          <w:color w:val="auto"/>
          <w:kern w:val="1"/>
          <w:sz w:val="32"/>
          <w:szCs w:val="32"/>
          <w:lang w:eastAsia="zh-CN"/>
        </w:rPr>
        <w:t>榕稽办处罚</w:t>
      </w:r>
      <w:r>
        <w:rPr>
          <w:rFonts w:hint="eastAsia" w:ascii="CESI仿宋-GB2312" w:hAnsi="CESI仿宋-GB2312" w:eastAsia="CESI仿宋-GB2312" w:cs="CESI仿宋-GB2312"/>
          <w:color w:val="auto"/>
          <w:kern w:val="1"/>
          <w:sz w:val="32"/>
          <w:szCs w:val="32"/>
        </w:rPr>
        <w:t>〔</w:t>
      </w:r>
      <w:r>
        <w:rPr>
          <w:rFonts w:hint="eastAsia" w:ascii="CESI仿宋-GB2312" w:hAnsi="CESI仿宋-GB2312" w:eastAsia="CESI仿宋-GB2312" w:cs="CESI仿宋-GB2312"/>
          <w:color w:val="auto"/>
          <w:kern w:val="1"/>
          <w:sz w:val="32"/>
          <w:szCs w:val="32"/>
          <w:lang w:val="en-US" w:eastAsia="zh-CN"/>
        </w:rPr>
        <w:t>2024</w:t>
      </w:r>
      <w:r>
        <w:rPr>
          <w:rFonts w:hint="eastAsia" w:ascii="CESI仿宋-GB2312" w:hAnsi="CESI仿宋-GB2312" w:eastAsia="CESI仿宋-GB2312" w:cs="CESI仿宋-GB2312"/>
          <w:color w:val="auto"/>
          <w:kern w:val="1"/>
          <w:sz w:val="32"/>
          <w:szCs w:val="32"/>
        </w:rPr>
        <w:t>〕</w:t>
      </w:r>
      <w:r>
        <w:rPr>
          <w:rFonts w:hint="eastAsia" w:ascii="CESI仿宋-GB2312" w:hAnsi="CESI仿宋-GB2312" w:eastAsia="CESI仿宋-GB2312" w:cs="CESI仿宋-GB2312"/>
          <w:color w:val="auto"/>
          <w:kern w:val="1"/>
          <w:sz w:val="32"/>
          <w:szCs w:val="32"/>
          <w:lang w:val="en-US" w:eastAsia="zh-CN"/>
        </w:rPr>
        <w:t>13</w:t>
      </w:r>
      <w:r>
        <w:rPr>
          <w:rFonts w:hint="eastAsia" w:ascii="CESI仿宋-GB2312" w:hAnsi="CESI仿宋-GB2312" w:eastAsia="CESI仿宋-GB2312" w:cs="CESI仿宋-GB2312"/>
          <w:color w:val="auto"/>
          <w:kern w:val="1"/>
          <w:sz w:val="32"/>
          <w:szCs w:val="32"/>
        </w:rPr>
        <w:t>号</w:t>
      </w:r>
    </w:p>
    <w:p>
      <w:pPr>
        <w:keepNext w:val="0"/>
        <w:keepLines w:val="0"/>
        <w:pageBreakBefore w:val="0"/>
        <w:kinsoku/>
        <w:wordWrap/>
        <w:overflowPunct/>
        <w:topLinePunct w:val="0"/>
        <w:autoSpaceDE/>
        <w:autoSpaceDN/>
        <w:bidi w:val="0"/>
        <w:adjustRightInd/>
        <w:spacing w:line="580" w:lineRule="exact"/>
        <w:ind w:right="0" w:rightChars="0"/>
        <w:jc w:val="center"/>
        <w:textAlignment w:val="auto"/>
        <w:rPr>
          <w:rFonts w:hint="eastAsia" w:ascii="CESI仿宋-GB2312" w:hAnsi="CESI仿宋-GB2312" w:eastAsia="CESI仿宋-GB2312" w:cs="CESI仿宋-GB2312"/>
          <w:color w:val="auto"/>
          <w:kern w:val="1"/>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kern w:val="1"/>
          <w:sz w:val="32"/>
          <w:szCs w:val="32"/>
        </w:rPr>
        <w:t>当</w:t>
      </w:r>
      <w:r>
        <w:rPr>
          <w:rFonts w:hint="eastAsia" w:ascii="CESI仿宋-GB2312" w:hAnsi="CESI仿宋-GB2312" w:eastAsia="CESI仿宋-GB2312" w:cs="CESI仿宋-GB2312"/>
          <w:kern w:val="1"/>
          <w:sz w:val="32"/>
          <w:szCs w:val="32"/>
          <w:lang w:eastAsia="zh-CN"/>
        </w:rPr>
        <w:t>事人：</w:t>
      </w:r>
      <w:r>
        <w:rPr>
          <w:rFonts w:hint="eastAsia" w:ascii="CESI仿宋-GB13000" w:hAnsi="CESI仿宋-GB13000" w:eastAsia="CESI仿宋-GB13000" w:cs="CESI仿宋-GB13000"/>
          <w:i w:val="0"/>
          <w:caps w:val="0"/>
          <w:color w:val="auto"/>
          <w:spacing w:val="0"/>
          <w:sz w:val="32"/>
          <w:szCs w:val="32"/>
          <w:shd w:val="clear"/>
          <w:lang w:val="en-US" w:eastAsia="zh-CN" w:bidi="ar-SA"/>
        </w:rPr>
        <w:t>福建广药洁达医药有限公司</w:t>
      </w:r>
    </w:p>
    <w:p>
      <w:pPr>
        <w:keepNext w:val="0"/>
        <w:keepLines w:val="0"/>
        <w:pageBreakBefore w:val="0"/>
        <w:kinsoku/>
        <w:wordWrap/>
        <w:overflowPunct/>
        <w:topLinePunct w:val="0"/>
        <w:autoSpaceDE/>
        <w:autoSpaceDN/>
        <w:bidi w:val="0"/>
        <w:adjustRightInd/>
        <w:snapToGrid/>
        <w:spacing w:line="420" w:lineRule="exact"/>
        <w:ind w:left="140" w:right="0" w:rightChars="0" w:hanging="140"/>
        <w:textAlignment w:val="auto"/>
        <w:rPr>
          <w:rFonts w:hint="eastAsia" w:ascii="CESI仿宋-GB2312" w:hAnsi="CESI仿宋-GB2312" w:eastAsia="CESI仿宋-GB2312" w:cs="CESI仿宋-GB2312"/>
          <w:kern w:val="1"/>
          <w:sz w:val="32"/>
          <w:szCs w:val="32"/>
          <w:lang w:eastAsia="zh-CN"/>
        </w:rPr>
      </w:pPr>
      <w:r>
        <w:rPr>
          <w:rFonts w:hint="eastAsia" w:ascii="CESI仿宋-GB2312" w:hAnsi="CESI仿宋-GB2312" w:eastAsia="CESI仿宋-GB2312" w:cs="CESI仿宋-GB2312"/>
          <w:kern w:val="1"/>
          <w:sz w:val="32"/>
          <w:szCs w:val="32"/>
        </w:rPr>
        <w:t>主体资格证照名称：</w:t>
      </w:r>
      <w:r>
        <w:rPr>
          <w:rFonts w:hint="eastAsia" w:ascii="CESI仿宋-GB2312" w:hAnsi="CESI仿宋-GB2312" w:eastAsia="CESI仿宋-GB2312" w:cs="CESI仿宋-GB2312"/>
          <w:kern w:val="1"/>
          <w:sz w:val="32"/>
          <w:szCs w:val="32"/>
          <w:lang w:eastAsia="zh-CN"/>
        </w:rPr>
        <w:t>营业执照</w:t>
      </w:r>
    </w:p>
    <w:p>
      <w:pPr>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CESI仿宋-GB2312" w:hAnsi="CESI仿宋-GB2312" w:eastAsia="CESI仿宋-GB2312" w:cs="CESI仿宋-GB2312"/>
          <w:kern w:val="1"/>
          <w:sz w:val="32"/>
          <w:szCs w:val="32"/>
        </w:rPr>
      </w:pPr>
      <w:r>
        <w:rPr>
          <w:rFonts w:hint="eastAsia" w:ascii="CESI仿宋-GB2312" w:hAnsi="CESI仿宋-GB2312" w:eastAsia="CESI仿宋-GB2312" w:cs="CESI仿宋-GB2312"/>
          <w:kern w:val="1"/>
          <w:sz w:val="32"/>
          <w:szCs w:val="32"/>
        </w:rPr>
        <w:t>统一社会信用代码（注册号）</w:t>
      </w:r>
      <w:r>
        <w:rPr>
          <w:rFonts w:hint="eastAsia" w:ascii="CESI仿宋-GB2312" w:hAnsi="CESI仿宋-GB2312" w:eastAsia="CESI仿宋-GB2312" w:cs="CESI仿宋-GB2312"/>
          <w:kern w:val="1"/>
          <w:sz w:val="32"/>
          <w:szCs w:val="32"/>
          <w:lang w:eastAsia="zh-CN"/>
        </w:rPr>
        <w:t>：</w:t>
      </w:r>
      <w:r>
        <w:rPr>
          <w:rFonts w:hint="eastAsia" w:ascii="CESI仿宋-GB13000" w:hAnsi="CESI仿宋-GB13000" w:eastAsia="CESI仿宋-GB13000" w:cs="CESI仿宋-GB13000"/>
          <w:sz w:val="32"/>
          <w:szCs w:val="32"/>
        </w:rPr>
        <w:t>9135010015444208XR</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CESI仿宋-GB2312" w:hAnsi="CESI仿宋-GB2312" w:eastAsia="CESI仿宋-GB2312" w:cs="CESI仿宋-GB2312"/>
          <w:color w:val="auto"/>
          <w:sz w:val="32"/>
          <w:szCs w:val="32"/>
          <w:lang w:val="en-US"/>
        </w:rPr>
      </w:pPr>
      <w:r>
        <w:rPr>
          <w:rFonts w:hint="eastAsia" w:ascii="CESI仿宋-GB2312" w:hAnsi="CESI仿宋-GB2312" w:eastAsia="CESI仿宋-GB2312" w:cs="CESI仿宋-GB2312"/>
          <w:kern w:val="1"/>
          <w:sz w:val="32"/>
          <w:szCs w:val="32"/>
        </w:rPr>
        <w:t>住所（住址）：</w:t>
      </w:r>
      <w:r>
        <w:rPr>
          <w:rFonts w:hint="eastAsia" w:ascii="CESI仿宋-GB13000" w:hAnsi="CESI仿宋-GB13000" w:eastAsia="CESI仿宋-GB13000" w:cs="CESI仿宋-GB13000"/>
          <w:sz w:val="32"/>
          <w:szCs w:val="32"/>
        </w:rPr>
        <w:t>福州市鼓楼区北环西路392号左海科技大厦B区401、402单元</w:t>
      </w:r>
    </w:p>
    <w:p>
      <w:pPr>
        <w:keepNext w:val="0"/>
        <w:keepLines w:val="0"/>
        <w:pageBreakBefore w:val="0"/>
        <w:kinsoku/>
        <w:wordWrap/>
        <w:overflowPunct/>
        <w:topLinePunct w:val="0"/>
        <w:autoSpaceDE/>
        <w:autoSpaceDN/>
        <w:bidi w:val="0"/>
        <w:adjustRightInd/>
        <w:snapToGrid/>
        <w:spacing w:line="420" w:lineRule="exact"/>
        <w:ind w:left="140" w:right="0" w:rightChars="0" w:hanging="140"/>
        <w:jc w:val="both"/>
        <w:textAlignment w:val="auto"/>
        <w:rPr>
          <w:rFonts w:hint="default" w:ascii="CESI仿宋-GB2312" w:hAnsi="CESI仿宋-GB2312" w:eastAsia="CESI仿宋-GB13000"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rPr>
        <w:t>法定代表人（负责人、经营者）：</w:t>
      </w:r>
      <w:r>
        <w:rPr>
          <w:rFonts w:hint="eastAsia" w:ascii="CESI仿宋-GB13000" w:hAnsi="CESI仿宋-GB13000" w:eastAsia="CESI仿宋-GB13000" w:cs="CESI仿宋-GB13000"/>
          <w:sz w:val="32"/>
          <w:szCs w:val="32"/>
        </w:rPr>
        <w:t>陈</w:t>
      </w:r>
      <w:r>
        <w:rPr>
          <w:rFonts w:hint="eastAsia" w:ascii="CESI仿宋-GB13000" w:hAnsi="CESI仿宋-GB13000" w:eastAsia="CESI仿宋-GB13000" w:cs="CESI仿宋-GB13000"/>
          <w:sz w:val="32"/>
          <w:szCs w:val="32"/>
          <w:lang w:val="en-US" w:eastAsia="zh-CN"/>
        </w:rPr>
        <w:t>**</w:t>
      </w:r>
    </w:p>
    <w:p>
      <w:pPr>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default" w:ascii="CESI仿宋-GB2312" w:hAnsi="CESI仿宋-GB2312" w:eastAsia="CESI仿宋-GB2312"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rPr>
        <w:t>身份证（其他有效证件）</w:t>
      </w:r>
      <w:r>
        <w:rPr>
          <w:rFonts w:hint="eastAsia" w:ascii="CESI仿宋-GB13000" w:hAnsi="CESI仿宋-GB13000" w:eastAsia="CESI仿宋-GB13000" w:cs="CESI仿宋-GB13000"/>
          <w:color w:val="00000A"/>
          <w:sz w:val="32"/>
          <w:szCs w:val="32"/>
          <w:lang w:eastAsia="zh-CN"/>
        </w:rPr>
        <w:t>号码：</w:t>
      </w:r>
      <w:r>
        <w:rPr>
          <w:rFonts w:hint="eastAsia" w:ascii="CESI仿宋-GB13000" w:hAnsi="CESI仿宋-GB13000" w:eastAsia="CESI仿宋-GB13000" w:cs="CESI仿宋-GB13000"/>
          <w:color w:val="00000A"/>
          <w:sz w:val="32"/>
          <w:szCs w:val="32"/>
          <w:lang w:val="en-US" w:eastAsia="zh-CN"/>
        </w:rPr>
        <w:t>***</w:t>
      </w:r>
    </w:p>
    <w:p>
      <w:pPr>
        <w:keepNext w:val="0"/>
        <w:keepLines w:val="0"/>
        <w:pageBreakBefore w:val="0"/>
        <w:kinsoku/>
        <w:wordWrap/>
        <w:overflowPunct/>
        <w:topLinePunct w:val="0"/>
        <w:autoSpaceDE/>
        <w:autoSpaceDN/>
        <w:bidi w:val="0"/>
        <w:adjustRightInd/>
        <w:snapToGrid/>
        <w:spacing w:line="420" w:lineRule="exact"/>
        <w:ind w:left="140" w:right="0" w:rightChars="0" w:hanging="140"/>
        <w:jc w:val="both"/>
        <w:textAlignment w:val="auto"/>
        <w:rPr>
          <w:rFonts w:hint="default" w:ascii="CESI仿宋-GB2312" w:hAnsi="CESI仿宋-GB2312" w:eastAsia="CESI仿宋-GB2312" w:cs="CESI仿宋-GB2312"/>
          <w:color w:val="auto"/>
          <w:kern w:val="1"/>
          <w:sz w:val="32"/>
          <w:szCs w:val="32"/>
          <w:u w:val="none"/>
          <w:lang w:val="en-US" w:eastAsia="zh-CN"/>
        </w:rPr>
      </w:pPr>
      <w:r>
        <w:rPr>
          <w:rFonts w:hint="eastAsia" w:ascii="CESI仿宋-GB2312" w:hAnsi="CESI仿宋-GB2312" w:eastAsia="CESI仿宋-GB2312" w:cs="CESI仿宋-GB2312"/>
          <w:color w:val="auto"/>
          <w:kern w:val="1"/>
          <w:sz w:val="32"/>
          <w:szCs w:val="32"/>
        </w:rPr>
        <w:t>联系电话：</w:t>
      </w:r>
      <w:r>
        <w:rPr>
          <w:rFonts w:hint="eastAsia" w:ascii="CESI仿宋-GB13000" w:hAnsi="CESI仿宋-GB13000" w:eastAsia="CESI仿宋-GB13000" w:cs="CESI仿宋-GB13000"/>
          <w:color w:val="00000A"/>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CESI仿宋-GB2312" w:hAnsi="CESI仿宋-GB2312" w:eastAsia="CESI仿宋-GB2312"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rPr>
        <w:t>联系地址：</w:t>
      </w:r>
      <w:r>
        <w:rPr>
          <w:rFonts w:hint="eastAsia" w:ascii="CESI仿宋-GB13000" w:hAnsi="CESI仿宋-GB13000" w:eastAsia="CESI仿宋-GB13000" w:cs="CESI仿宋-GB13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rPr>
          <w:rFonts w:hint="eastAsia" w:ascii="CESI仿宋-GB2312" w:hAnsi="CESI仿宋-GB2312" w:eastAsia="CESI仿宋-GB2312"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lang w:val="en-US" w:eastAsia="zh-CN"/>
        </w:rPr>
        <w:t>经调查，当事人销售的四味脾胃舒颗粒（标示生产企业：广西天天乐药业股份有限公司，包装：10克/袋x15袋/盒，批号：230780、231029）非标示生产企业广西天天乐药业股份有限公司生产，依照《中华人民共和国药品管理法》第九十八条第二款第（二）项规定，应为假药。经核实，2024年1月至2月期间，当事人共销售上述批次的四味脾胃舒颗粒22盒，销售金额1100.25元；被抽样8盒，样品费用392元，合计所得收入1492.25元。另经调查，当事人在采购、验收、储存、销售上述药品过程中，未发现异常，符合《药品管理法实施条例》第七十五条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2024年12月9日，本办将行政处罚告知书依法送达当事人，并告知当事人具有陈述申辩的权利。截止2024年12月16日，当事人未提起陈述和申辩。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当事人上述行为违反了《中华人民共和国药品管理法》第九十八条第一款的规定。依照《行政处罚法》第二十八条，《药品管理法》第一百一十六条和《药品管理法实施条例》（2019年修正）第七十五条的规定，责令当事人改正违法行为并作如下处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1.没收销售假药四味脾胃舒颗粒违法所得1492.25元；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2.免于其他行政处罚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CESI仿宋-GB2312" w:hAnsi="CESI仿宋-GB2312" w:eastAsia="CESI仿宋-GB2312" w:cs="CESI仿宋-GB2312"/>
          <w:color w:val="auto"/>
          <w:sz w:val="32"/>
          <w:szCs w:val="32"/>
          <w:u w:val="none"/>
        </w:rPr>
      </w:pPr>
      <w:r>
        <w:rPr>
          <w:rFonts w:hint="eastAsia" w:ascii="CESI仿宋-GB13000" w:hAnsi="CESI仿宋-GB13000" w:eastAsia="CESI仿宋-GB13000" w:cs="CESI仿宋-GB13000"/>
          <w:color w:val="auto"/>
          <w:sz w:val="32"/>
          <w:szCs w:val="32"/>
          <w:lang w:val="en-US" w:eastAsia="zh-CN"/>
        </w:rPr>
        <w:t>依据《中华人民共和国</w:t>
      </w:r>
      <w:r>
        <w:rPr>
          <w:rFonts w:hint="eastAsia" w:ascii="CESI仿宋-GB2312" w:hAnsi="CESI仿宋-GB2312" w:eastAsia="CESI仿宋-GB2312" w:cs="CESI仿宋-GB2312"/>
          <w:color w:val="auto"/>
          <w:sz w:val="32"/>
          <w:szCs w:val="32"/>
        </w:rPr>
        <w:t>行政处罚法》第</w:t>
      </w:r>
      <w:r>
        <w:rPr>
          <w:rFonts w:hint="eastAsia" w:ascii="CESI仿宋-GB2312" w:hAnsi="CESI仿宋-GB2312" w:eastAsia="CESI仿宋-GB2312" w:cs="CESI仿宋-GB2312"/>
          <w:color w:val="auto"/>
          <w:sz w:val="32"/>
          <w:szCs w:val="32"/>
          <w:lang w:eastAsia="zh-CN"/>
        </w:rPr>
        <w:t>六十七</w:t>
      </w:r>
      <w:r>
        <w:rPr>
          <w:rFonts w:hint="eastAsia" w:ascii="CESI仿宋-GB2312" w:hAnsi="CESI仿宋-GB2312" w:eastAsia="CESI仿宋-GB2312" w:cs="CESI仿宋-GB2312"/>
          <w:color w:val="auto"/>
          <w:sz w:val="32"/>
          <w:szCs w:val="32"/>
        </w:rPr>
        <w:t>条</w:t>
      </w:r>
      <w:r>
        <w:rPr>
          <w:rFonts w:hint="eastAsia" w:ascii="CESI仿宋-GB2312" w:hAnsi="CESI仿宋-GB2312" w:eastAsia="CESI仿宋-GB2312" w:cs="CESI仿宋-GB2312"/>
          <w:color w:val="auto"/>
          <w:sz w:val="32"/>
          <w:szCs w:val="32"/>
          <w:lang w:eastAsia="zh-CN"/>
        </w:rPr>
        <w:t>第三款</w:t>
      </w:r>
      <w:r>
        <w:rPr>
          <w:rFonts w:hint="eastAsia" w:ascii="CESI仿宋-GB2312" w:hAnsi="CESI仿宋-GB2312" w:eastAsia="CESI仿宋-GB2312" w:cs="CESI仿宋-GB2312"/>
          <w:color w:val="auto"/>
          <w:sz w:val="32"/>
          <w:szCs w:val="32"/>
        </w:rPr>
        <w:t>规定，</w:t>
      </w:r>
      <w:r>
        <w:rPr>
          <w:rFonts w:hint="eastAsia" w:ascii="CESI仿宋-GB2312" w:hAnsi="CESI仿宋-GB2312" w:eastAsia="CESI仿宋-GB2312" w:cs="CESI仿宋-GB2312"/>
          <w:color w:val="auto"/>
          <w:kern w:val="1"/>
          <w:sz w:val="32"/>
          <w:szCs w:val="32"/>
        </w:rPr>
        <w:t>当事人</w:t>
      </w:r>
      <w:r>
        <w:rPr>
          <w:rFonts w:hint="eastAsia" w:ascii="CESI仿宋-GB2312" w:hAnsi="CESI仿宋-GB2312" w:eastAsia="CESI仿宋-GB2312" w:cs="CESI仿宋-GB2312"/>
          <w:color w:val="auto"/>
          <w:sz w:val="32"/>
          <w:szCs w:val="32"/>
          <w:u w:val="none"/>
          <w:lang w:eastAsia="zh-CN"/>
        </w:rPr>
        <w:t>接到本行政处罚决定之日起</w:t>
      </w:r>
      <w:r>
        <w:rPr>
          <w:rFonts w:hint="eastAsia" w:ascii="CESI仿宋-GB2312" w:hAnsi="CESI仿宋-GB2312" w:eastAsia="CESI仿宋-GB2312" w:cs="CESI仿宋-GB2312"/>
          <w:color w:val="auto"/>
          <w:sz w:val="32"/>
          <w:szCs w:val="32"/>
          <w:u w:val="none"/>
          <w:lang w:val="en-US" w:eastAsia="zh-CN"/>
        </w:rPr>
        <w:t>15日内携</w:t>
      </w:r>
      <w:r>
        <w:rPr>
          <w:rFonts w:hint="eastAsia" w:ascii="CESI仿宋-GB2312" w:hAnsi="CESI仿宋-GB2312" w:eastAsia="CESI仿宋-GB2312" w:cs="CESI仿宋-GB2312"/>
          <w:color w:val="auto"/>
          <w:sz w:val="32"/>
          <w:szCs w:val="32"/>
          <w:u w:val="single"/>
          <w:lang w:val="en-US" w:eastAsia="zh-CN"/>
        </w:rPr>
        <w:t>福建省药品监督管理局福州药品稽查办公室</w:t>
      </w:r>
      <w:r>
        <w:rPr>
          <w:rFonts w:hint="eastAsia" w:ascii="CESI仿宋-GB2312" w:hAnsi="CESI仿宋-GB2312" w:eastAsia="CESI仿宋-GB2312" w:cs="CESI仿宋-GB2312"/>
          <w:color w:val="auto"/>
          <w:sz w:val="32"/>
          <w:szCs w:val="32"/>
          <w:u w:val="none"/>
          <w:lang w:val="en-US" w:eastAsia="zh-CN"/>
        </w:rPr>
        <w:t>开具的行政罚没缴款通知书，至各银行网点或者通过电子支付系统缴纳并将缴纳凭证送交我办。到期不缴纳罚款的，依据《中华人民共和国行政处罚法》第七十二条第一款第（一）项的规定，本办将每日按罚款数额的百分之三加处罚款，并依法申请人民法院强制执行</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01"/>
        <w:jc w:val="both"/>
        <w:textAlignment w:val="auto"/>
        <w:rPr>
          <w:rFonts w:hint="eastAsia" w:ascii="CESI仿宋-GB2312" w:hAnsi="CESI仿宋-GB2312" w:eastAsia="CESI仿宋-GB2312" w:cs="CESI仿宋-GB2312"/>
          <w:color w:val="auto"/>
          <w:sz w:val="32"/>
          <w:szCs w:val="32"/>
          <w:u w:val="none"/>
          <w:lang w:eastAsia="zh-CN"/>
        </w:rPr>
      </w:pPr>
      <w:r>
        <w:rPr>
          <w:rFonts w:hint="eastAsia" w:ascii="CESI仿宋-GB2312" w:hAnsi="CESI仿宋-GB2312" w:eastAsia="CESI仿宋-GB2312" w:cs="CESI仿宋-GB2312"/>
          <w:color w:val="auto"/>
          <w:sz w:val="32"/>
          <w:szCs w:val="32"/>
          <w:u w:val="none"/>
          <w:lang w:eastAsia="zh-CN"/>
        </w:rPr>
        <w:t>如你（单位）不服本行政处罚决定，可以在收到本行政处罚决定书之日起</w:t>
      </w:r>
      <w:r>
        <w:rPr>
          <w:rFonts w:hint="eastAsia" w:ascii="CESI仿宋-GB2312" w:hAnsi="CESI仿宋-GB2312" w:eastAsia="CESI仿宋-GB2312" w:cs="CESI仿宋-GB2312"/>
          <w:color w:val="auto"/>
          <w:sz w:val="32"/>
          <w:szCs w:val="32"/>
          <w:u w:val="single"/>
          <w:lang w:eastAsia="zh-CN"/>
        </w:rPr>
        <w:t>六十日</w:t>
      </w:r>
      <w:r>
        <w:rPr>
          <w:rFonts w:hint="eastAsia" w:ascii="CESI仿宋-GB2312" w:hAnsi="CESI仿宋-GB2312" w:eastAsia="CESI仿宋-GB2312" w:cs="CESI仿宋-GB2312"/>
          <w:color w:val="auto"/>
          <w:sz w:val="32"/>
          <w:szCs w:val="32"/>
          <w:u w:val="none"/>
          <w:lang w:eastAsia="zh-CN"/>
        </w:rPr>
        <w:t>内向</w:t>
      </w:r>
      <w:r>
        <w:rPr>
          <w:rFonts w:hint="eastAsia" w:ascii="CESI仿宋-GB2312" w:hAnsi="CESI仿宋-GB2312" w:eastAsia="CESI仿宋-GB2312" w:cs="CESI仿宋-GB2312"/>
          <w:color w:val="auto"/>
          <w:sz w:val="32"/>
          <w:szCs w:val="32"/>
          <w:u w:val="single"/>
          <w:lang w:eastAsia="zh-CN"/>
        </w:rPr>
        <w:t>福建省人民政府</w:t>
      </w:r>
      <w:r>
        <w:rPr>
          <w:rFonts w:hint="eastAsia" w:ascii="CESI仿宋-GB2312" w:hAnsi="CESI仿宋-GB2312" w:eastAsia="CESI仿宋-GB2312" w:cs="CESI仿宋-GB2312"/>
          <w:color w:val="auto"/>
          <w:sz w:val="32"/>
          <w:szCs w:val="32"/>
          <w:u w:val="none"/>
          <w:lang w:eastAsia="zh-CN"/>
        </w:rPr>
        <w:t>申请行政复议；也可以在</w:t>
      </w:r>
      <w:r>
        <w:rPr>
          <w:rFonts w:hint="eastAsia" w:ascii="CESI仿宋-GB2312" w:hAnsi="CESI仿宋-GB2312" w:eastAsia="CESI仿宋-GB2312" w:cs="CESI仿宋-GB2312"/>
          <w:color w:val="auto"/>
          <w:sz w:val="32"/>
          <w:szCs w:val="32"/>
          <w:u w:val="single"/>
          <w:lang w:eastAsia="zh-CN"/>
        </w:rPr>
        <w:t>六个月</w:t>
      </w:r>
      <w:r>
        <w:rPr>
          <w:rFonts w:hint="eastAsia" w:ascii="CESI仿宋-GB2312" w:hAnsi="CESI仿宋-GB2312" w:eastAsia="CESI仿宋-GB2312" w:cs="CESI仿宋-GB2312"/>
          <w:color w:val="auto"/>
          <w:sz w:val="32"/>
          <w:szCs w:val="32"/>
          <w:u w:val="none"/>
          <w:lang w:eastAsia="zh-CN"/>
        </w:rPr>
        <w:t>内依法向福州市鼓楼区人民法院提起行政诉讼。申请行政复议或者提起行政诉讼期间，行政处罚不停止执行。</w:t>
      </w:r>
    </w:p>
    <w:p>
      <w:pPr>
        <w:pStyle w:val="2"/>
        <w:rPr>
          <w:rFonts w:hint="eastAsia"/>
        </w:rPr>
      </w:pPr>
    </w:p>
    <w:p>
      <w:pPr>
        <w:keepNext w:val="0"/>
        <w:keepLines w:val="0"/>
        <w:pageBreakBefore w:val="0"/>
        <w:kinsoku/>
        <w:overflowPunct/>
        <w:topLinePunct w:val="0"/>
        <w:autoSpaceDE/>
        <w:autoSpaceDN/>
        <w:bidi w:val="0"/>
        <w:adjustRightInd/>
        <w:spacing w:line="420" w:lineRule="exact"/>
        <w:ind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　　　　　</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福建省药品</w:t>
      </w:r>
      <w:r>
        <w:rPr>
          <w:rFonts w:hint="eastAsia" w:ascii="CESI仿宋-GB2312" w:hAnsi="CESI仿宋-GB2312" w:eastAsia="CESI仿宋-GB2312" w:cs="CESI仿宋-GB2312"/>
          <w:color w:val="000000"/>
          <w:sz w:val="32"/>
          <w:szCs w:val="32"/>
        </w:rPr>
        <w:t>监督管理局</w:t>
      </w:r>
    </w:p>
    <w:p>
      <w:pPr>
        <w:keepNext w:val="0"/>
        <w:keepLines w:val="0"/>
        <w:pageBreakBefore w:val="0"/>
        <w:kinsoku/>
        <w:overflowPunct/>
        <w:topLinePunct w:val="0"/>
        <w:autoSpaceDE/>
        <w:autoSpaceDN/>
        <w:bidi w:val="0"/>
        <w:adjustRightInd/>
        <w:spacing w:line="420" w:lineRule="exact"/>
        <w:ind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福州药品稽查办公室</w:t>
      </w:r>
    </w:p>
    <w:p>
      <w:pPr>
        <w:keepNext w:val="0"/>
        <w:keepLines w:val="0"/>
        <w:pageBreakBefore w:val="0"/>
        <w:kinsoku/>
        <w:overflowPunct/>
        <w:topLinePunct w:val="0"/>
        <w:autoSpaceDE/>
        <w:autoSpaceDN/>
        <w:bidi w:val="0"/>
        <w:adjustRightInd/>
        <w:spacing w:line="420" w:lineRule="exact"/>
        <w:ind w:right="640"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（印 章）</w:t>
      </w:r>
    </w:p>
    <w:p>
      <w:pPr>
        <w:keepNext w:val="0"/>
        <w:keepLines w:val="0"/>
        <w:pageBreakBefore w:val="0"/>
        <w:kinsoku/>
        <w:overflowPunct/>
        <w:topLinePunct w:val="0"/>
        <w:autoSpaceDE/>
        <w:autoSpaceDN/>
        <w:bidi w:val="0"/>
        <w:adjustRightInd/>
        <w:spacing w:line="420" w:lineRule="exact"/>
        <w:ind w:right="640" w:firstLine="600"/>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2024</w:t>
      </w:r>
      <w:r>
        <w:rPr>
          <w:rFonts w:hint="eastAsia" w:ascii="CESI仿宋-GB2312" w:hAnsi="CESI仿宋-GB2312" w:eastAsia="CESI仿宋-GB2312" w:cs="CESI仿宋-GB2312"/>
          <w:color w:val="000000"/>
          <w:sz w:val="32"/>
          <w:szCs w:val="32"/>
        </w:rPr>
        <w:t>年</w:t>
      </w:r>
      <w:r>
        <w:rPr>
          <w:rFonts w:hint="eastAsia" w:ascii="CESI仿宋-GB2312" w:hAnsi="CESI仿宋-GB2312" w:eastAsia="CESI仿宋-GB2312" w:cs="CESI仿宋-GB2312"/>
          <w:color w:val="000000"/>
          <w:sz w:val="32"/>
          <w:szCs w:val="32"/>
          <w:lang w:val="en-US" w:eastAsia="zh-CN"/>
        </w:rPr>
        <w:t>12</w:t>
      </w:r>
      <w:r>
        <w:rPr>
          <w:rFonts w:hint="eastAsia" w:ascii="CESI仿宋-GB2312" w:hAnsi="CESI仿宋-GB2312" w:eastAsia="CESI仿宋-GB2312" w:cs="CESI仿宋-GB2312"/>
          <w:color w:val="000000"/>
          <w:sz w:val="32"/>
          <w:szCs w:val="32"/>
        </w:rPr>
        <w:t>月</w:t>
      </w:r>
      <w:r>
        <w:rPr>
          <w:rFonts w:hint="eastAsia" w:ascii="CESI仿宋-GB2312" w:hAnsi="CESI仿宋-GB2312" w:eastAsia="CESI仿宋-GB2312" w:cs="CESI仿宋-GB2312"/>
          <w:color w:val="000000"/>
          <w:sz w:val="32"/>
          <w:szCs w:val="32"/>
          <w:lang w:val="en-US" w:eastAsia="zh-CN"/>
        </w:rPr>
        <w:t>17</w:t>
      </w:r>
      <w:r>
        <w:rPr>
          <w:rFonts w:hint="eastAsia" w:ascii="CESI仿宋-GB2312" w:hAnsi="CESI仿宋-GB2312" w:eastAsia="CESI仿宋-GB2312" w:cs="CESI仿宋-GB2312"/>
          <w:color w:val="000000"/>
          <w:sz w:val="32"/>
          <w:szCs w:val="32"/>
        </w:rPr>
        <w:t>日</w:t>
      </w:r>
    </w:p>
    <w:p>
      <w:pPr>
        <w:keepNext w:val="0"/>
        <w:keepLines w:val="0"/>
        <w:pageBreakBefore w:val="0"/>
        <w:widowControl w:val="0"/>
        <w:kinsoku/>
        <w:wordWrap w:val="0"/>
        <w:overflowPunct/>
        <w:topLinePunct w:val="0"/>
        <w:autoSpaceDE/>
        <w:autoSpaceDN/>
        <w:bidi w:val="0"/>
        <w:adjustRightInd/>
        <w:snapToGrid w:val="0"/>
        <w:spacing w:line="42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（我局</w:t>
      </w:r>
      <w:r>
        <w:rPr>
          <w:rFonts w:hint="eastAsia" w:ascii="CESI仿宋-GB2312" w:hAnsi="CESI仿宋-GB2312" w:eastAsia="CESI仿宋-GB2312" w:cs="CESI仿宋-GB2312"/>
          <w:color w:val="000000"/>
          <w:sz w:val="32"/>
          <w:szCs w:val="32"/>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CESI仿宋-GB2312" w:hAnsi="CESI仿宋-GB2312" w:eastAsia="CESI仿宋-GB2312" w:cs="CESI仿宋-GB2312"/>
          <w:color w:val="000000"/>
          <w:sz w:val="32"/>
          <w:szCs w:val="32"/>
        </w:rPr>
      </w:pPr>
      <w:bookmarkStart w:id="0" w:name="_GoBack"/>
      <w:r>
        <w:rPr>
          <w:rFonts w:hint="eastAsia" w:ascii="CESI仿宋-GB2312" w:hAnsi="CESI仿宋-GB2312" w:eastAsia="CESI仿宋-GB2312" w:cs="CESI仿宋-GB2312"/>
          <w:sz w:val="32"/>
          <w:szCs w:val="32"/>
        </w:rPr>
        <mc:AlternateContent>
          <mc:Choice Requires="wps">
            <w:drawing>
              <wp:anchor distT="0" distB="0" distL="114300" distR="114300" simplePos="0" relativeHeight="251671552" behindDoc="0" locked="0" layoutInCell="1" allowOverlap="1">
                <wp:simplePos x="0" y="0"/>
                <wp:positionH relativeFrom="column">
                  <wp:posOffset>603885</wp:posOffset>
                </wp:positionH>
                <wp:positionV relativeFrom="paragraph">
                  <wp:posOffset>193040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55pt;margin-top:15.2pt;height:0.05pt;width:437.05pt;z-index:251671552;mso-width-relative:page;mso-height-relative:page;" filled="f" stroked="t" coordsize="21600,21600" o:gfxdata="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6lriXYAAAACAEAAA8AAAAAAAAAAQAgAAAAOAAAAGRycy9kb3ducmV2LnhtbFBLAQIUABQAAAAI&#10;AIdO4kDhU2GU1wEAAJsDAAAOAAAAAAAAAAEAIAAAAD0BAABkcnMvZTJvRG9jLnhtbFBLBQYAAAAA&#10;BgAGAFkBAACGBQAAAAA=&#10;">
                <v:fill on="f" focussize="0,0"/>
                <v:stroke weight="1.25pt" color="#000000" joinstyle="round"/>
                <v:imagedata o:title=""/>
                <o:lock v:ext="edit" aspectratio="f"/>
              </v:line>
            </w:pict>
          </mc:Fallback>
        </mc:AlternateContent>
      </w:r>
      <w:bookmarkEnd w:id="0"/>
    </w:p>
    <w:p>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Cs/>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7052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zkdcAAAAKAQAADwAAAAAAAAABACAAAAA4AAAAZHJzL2Rvd25yZXYueG1sUEsBAhQAFAAA&#10;AAgAh07iQBwqhEzaAQAAmQMAAA4AAAAAAAAAAQAgAAAAPAEAAGRycy9lMm9Eb2MueG1sUEsFBgAA&#10;AAAGAAYAWQEAAIgFAAAAAA==&#10;">
                <v:fill on="f" focussize="0,0"/>
                <v:stroke weight="0.737007874015748pt" color="#000000" joinstyle="round" endcap="square"/>
                <v:imagedata o:title=""/>
                <o:lock v:ext="edit" aspectratio="f"/>
              </v:line>
            </w:pict>
          </mc:Fallback>
        </mc:AlternateContent>
      </w:r>
      <w:r>
        <w:rPr>
          <w:rFonts w:hint="eastAsia" w:ascii="CESI仿宋-GB2312" w:hAnsi="CESI仿宋-GB2312" w:eastAsia="CESI仿宋-GB2312" w:cs="CESI仿宋-GB2312"/>
          <w:color w:val="000000"/>
          <w:sz w:val="32"/>
          <w:szCs w:val="32"/>
        </w:rPr>
        <w:t>本文书一式</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single"/>
          <w:lang w:eastAsia="zh-CN"/>
        </w:rPr>
        <w:t>三</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rPr>
        <w:t>份，</w:t>
      </w:r>
      <w:r>
        <w:rPr>
          <w:rFonts w:hint="eastAsia" w:ascii="CESI仿宋-GB2312" w:hAnsi="CESI仿宋-GB2312" w:eastAsia="CESI仿宋-GB2312" w:cs="CESI仿宋-GB2312"/>
          <w:color w:val="000000"/>
          <w:sz w:val="32"/>
          <w:szCs w:val="32"/>
          <w:u w:val="single"/>
          <w:lang w:eastAsia="zh-CN"/>
        </w:rPr>
        <w:t>一</w:t>
      </w:r>
      <w:r>
        <w:rPr>
          <w:rFonts w:hint="eastAsia" w:ascii="CESI仿宋-GB2312" w:hAnsi="CESI仿宋-GB2312" w:eastAsia="CESI仿宋-GB2312" w:cs="CESI仿宋-GB2312"/>
          <w:color w:val="000000"/>
          <w:sz w:val="32"/>
          <w:szCs w:val="32"/>
        </w:rPr>
        <w:t>份送达，</w:t>
      </w:r>
      <w:r>
        <w:rPr>
          <w:rFonts w:hint="eastAsia" w:ascii="CESI仿宋-GB2312" w:hAnsi="CESI仿宋-GB2312" w:eastAsia="CESI仿宋-GB2312" w:cs="CESI仿宋-GB2312"/>
          <w:color w:val="000000"/>
          <w:sz w:val="32"/>
          <w:szCs w:val="32"/>
          <w:u w:val="single"/>
        </w:rPr>
        <w:t>一</w:t>
      </w:r>
      <w:r>
        <w:rPr>
          <w:rFonts w:hint="eastAsia" w:ascii="CESI仿宋-GB2312" w:hAnsi="CESI仿宋-GB2312" w:eastAsia="CESI仿宋-GB2312" w:cs="CESI仿宋-GB2312"/>
          <w:color w:val="000000"/>
          <w:sz w:val="32"/>
          <w:szCs w:val="32"/>
        </w:rPr>
        <w:t>份归档，</w:t>
      </w:r>
      <w:r>
        <w:rPr>
          <w:rFonts w:hint="eastAsia" w:ascii="CESI仿宋-GB2312" w:hAnsi="CESI仿宋-GB2312" w:eastAsia="CESI仿宋-GB2312" w:cs="CESI仿宋-GB2312"/>
          <w:color w:val="000000"/>
          <w:sz w:val="32"/>
          <w:szCs w:val="32"/>
          <w:u w:val="none"/>
        </w:rPr>
        <w:t xml:space="preserve"> </w:t>
      </w:r>
      <w:r>
        <w:rPr>
          <w:rFonts w:hint="eastAsia" w:ascii="CESI仿宋-GB2312" w:hAnsi="CESI仿宋-GB2312" w:eastAsia="CESI仿宋-GB2312" w:cs="CESI仿宋-GB2312"/>
          <w:color w:val="000000"/>
          <w:sz w:val="32"/>
          <w:szCs w:val="32"/>
          <w:u w:val="single"/>
          <w:lang w:eastAsia="zh-CN"/>
        </w:rPr>
        <w:t>一</w:t>
      </w:r>
      <w:r>
        <w:rPr>
          <w:rFonts w:hint="eastAsia" w:ascii="CESI仿宋-GB2312" w:hAnsi="CESI仿宋-GB2312" w:eastAsia="CESI仿宋-GB2312" w:cs="CESI仿宋-GB2312"/>
          <w:color w:val="000000"/>
          <w:sz w:val="32"/>
          <w:szCs w:val="32"/>
          <w:u w:val="none"/>
          <w:lang w:eastAsia="zh-CN"/>
        </w:rPr>
        <w:t>份留底</w:t>
      </w:r>
      <w:r>
        <w:rPr>
          <w:rFonts w:hint="eastAsia" w:ascii="CESI仿宋-GB2312" w:hAnsi="CESI仿宋-GB2312" w:eastAsia="CESI仿宋-GB2312" w:cs="CESI仿宋-GB2312"/>
          <w:color w:val="000000"/>
          <w:sz w:val="32"/>
          <w:szCs w:val="32"/>
        </w:rPr>
        <w:t>。</w:t>
      </w:r>
    </w:p>
    <w:p>
      <w:pPr>
        <w:rPr>
          <w:rFonts w:hint="eastAsia" w:ascii="CESI宋体-GB2312" w:hAnsi="CESI宋体-GB2312" w:eastAsia="CESI宋体-GB2312" w:cs="CESI宋体-GB2312"/>
          <w:i w:val="0"/>
          <w:color w:val="000000"/>
          <w:kern w:val="0"/>
          <w:sz w:val="24"/>
          <w:szCs w:val="24"/>
          <w:lang w:val="en-US" w:eastAsia="zh-CN" w:bidi="ar"/>
        </w:rPr>
      </w:pPr>
    </w:p>
    <w:sectPr>
      <w:pgSz w:w="11906" w:h="16838"/>
      <w:pgMar w:top="1440" w:right="839" w:bottom="1270" w:left="83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auto"/>
    <w:pitch w:val="default"/>
    <w:sig w:usb0="00000000" w:usb1="00000000" w:usb2="00000016" w:usb3="00000000" w:csb0="00040001" w:csb1="00000000"/>
  </w:font>
  <w:font w:name="微软雅黑">
    <w:altName w:val="文泉驿微米黑"/>
    <w:panose1 w:val="020B0503020204020204"/>
    <w:charset w:val="86"/>
    <w:family w:val="swiss"/>
    <w:pitch w:val="default"/>
    <w:sig w:usb0="00000000" w:usb1="00000000" w:usb2="00000016" w:usb3="00000000" w:csb0="0004001F" w:csb1="00000000"/>
  </w:font>
  <w:font w:name="CESI宋体-GB2312">
    <w:panose1 w:val="02000500000000000000"/>
    <w:charset w:val="86"/>
    <w:family w:val="auto"/>
    <w:pitch w:val="default"/>
    <w:sig w:usb0="800002AF" w:usb1="0847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6F94FA0"/>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7FF06A1"/>
    <w:rsid w:val="18042591"/>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569115D"/>
    <w:rsid w:val="26417654"/>
    <w:rsid w:val="26DF29AC"/>
    <w:rsid w:val="27B3517A"/>
    <w:rsid w:val="28F3492D"/>
    <w:rsid w:val="2A1721F2"/>
    <w:rsid w:val="2C9337B1"/>
    <w:rsid w:val="2CA16103"/>
    <w:rsid w:val="2D7123B7"/>
    <w:rsid w:val="2DE649A3"/>
    <w:rsid w:val="2E5B16E1"/>
    <w:rsid w:val="2ECF18AA"/>
    <w:rsid w:val="2EEB283A"/>
    <w:rsid w:val="2F383184"/>
    <w:rsid w:val="2F57175D"/>
    <w:rsid w:val="2F8548F3"/>
    <w:rsid w:val="30351958"/>
    <w:rsid w:val="30CF358A"/>
    <w:rsid w:val="31AB5C1E"/>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5D715A"/>
    <w:rsid w:val="39715F2D"/>
    <w:rsid w:val="39E721C0"/>
    <w:rsid w:val="39F74572"/>
    <w:rsid w:val="3A8E2E37"/>
    <w:rsid w:val="3B5F47C3"/>
    <w:rsid w:val="3D0D111B"/>
    <w:rsid w:val="3DC588B1"/>
    <w:rsid w:val="3DDC2EDA"/>
    <w:rsid w:val="3E39262D"/>
    <w:rsid w:val="3E4A5F63"/>
    <w:rsid w:val="3F4B3DBC"/>
    <w:rsid w:val="400613B4"/>
    <w:rsid w:val="404323A5"/>
    <w:rsid w:val="408D71D7"/>
    <w:rsid w:val="40F9550B"/>
    <w:rsid w:val="426C1B97"/>
    <w:rsid w:val="42743BCB"/>
    <w:rsid w:val="429373A2"/>
    <w:rsid w:val="4344143E"/>
    <w:rsid w:val="43854217"/>
    <w:rsid w:val="438C3243"/>
    <w:rsid w:val="43DFAF0C"/>
    <w:rsid w:val="44F32001"/>
    <w:rsid w:val="45253CF6"/>
    <w:rsid w:val="45646B1F"/>
    <w:rsid w:val="46563F5F"/>
    <w:rsid w:val="46AE1F18"/>
    <w:rsid w:val="46C71020"/>
    <w:rsid w:val="470122F1"/>
    <w:rsid w:val="47177CA0"/>
    <w:rsid w:val="474F196C"/>
    <w:rsid w:val="496D4EDD"/>
    <w:rsid w:val="4ABC573E"/>
    <w:rsid w:val="4B227261"/>
    <w:rsid w:val="4BB927A7"/>
    <w:rsid w:val="4BD87CAD"/>
    <w:rsid w:val="4D494A31"/>
    <w:rsid w:val="4D4E6522"/>
    <w:rsid w:val="4DBF5525"/>
    <w:rsid w:val="4EBF4B5E"/>
    <w:rsid w:val="4FBF2728"/>
    <w:rsid w:val="507A420F"/>
    <w:rsid w:val="511C6458"/>
    <w:rsid w:val="51295856"/>
    <w:rsid w:val="51F1DE26"/>
    <w:rsid w:val="521F1AAF"/>
    <w:rsid w:val="52650555"/>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DA56F7B"/>
    <w:rsid w:val="5F277E5F"/>
    <w:rsid w:val="5FFFC742"/>
    <w:rsid w:val="600B75EF"/>
    <w:rsid w:val="613B606A"/>
    <w:rsid w:val="62E71FB6"/>
    <w:rsid w:val="635C6039"/>
    <w:rsid w:val="640A5255"/>
    <w:rsid w:val="64145F3B"/>
    <w:rsid w:val="647F73C1"/>
    <w:rsid w:val="64DF3162"/>
    <w:rsid w:val="651779D1"/>
    <w:rsid w:val="65637F91"/>
    <w:rsid w:val="657E78B6"/>
    <w:rsid w:val="6585448E"/>
    <w:rsid w:val="65BD6C42"/>
    <w:rsid w:val="668415F3"/>
    <w:rsid w:val="66DC7FD3"/>
    <w:rsid w:val="672D2D56"/>
    <w:rsid w:val="6A1A7C2A"/>
    <w:rsid w:val="6A9923F2"/>
    <w:rsid w:val="6A9954DA"/>
    <w:rsid w:val="6BBF71E8"/>
    <w:rsid w:val="6CB41594"/>
    <w:rsid w:val="6D0A7F6C"/>
    <w:rsid w:val="6DD25D21"/>
    <w:rsid w:val="6ECF425C"/>
    <w:rsid w:val="6ED574D6"/>
    <w:rsid w:val="6EF5A37C"/>
    <w:rsid w:val="6F9E5A29"/>
    <w:rsid w:val="708E50BE"/>
    <w:rsid w:val="70E44B48"/>
    <w:rsid w:val="719268CD"/>
    <w:rsid w:val="72BE667F"/>
    <w:rsid w:val="73097736"/>
    <w:rsid w:val="74443F76"/>
    <w:rsid w:val="74C675FD"/>
    <w:rsid w:val="759F6457"/>
    <w:rsid w:val="763450D7"/>
    <w:rsid w:val="77A62510"/>
    <w:rsid w:val="77E33F1F"/>
    <w:rsid w:val="78EF193B"/>
    <w:rsid w:val="79904D8C"/>
    <w:rsid w:val="7AC34CDF"/>
    <w:rsid w:val="7AE509B7"/>
    <w:rsid w:val="7BA83DBE"/>
    <w:rsid w:val="7BF666EA"/>
    <w:rsid w:val="7DFF479F"/>
    <w:rsid w:val="7E227595"/>
    <w:rsid w:val="7E5425C2"/>
    <w:rsid w:val="7EA16C77"/>
    <w:rsid w:val="7ECB6A2F"/>
    <w:rsid w:val="7FDFB2F0"/>
    <w:rsid w:val="9FC783A5"/>
    <w:rsid w:val="AEBF1FA8"/>
    <w:rsid w:val="B3BDD9C4"/>
    <w:rsid w:val="BBFE67FE"/>
    <w:rsid w:val="BD370319"/>
    <w:rsid w:val="BDDF7830"/>
    <w:rsid w:val="BF322E95"/>
    <w:rsid w:val="BFBFACB2"/>
    <w:rsid w:val="BFDF7408"/>
    <w:rsid w:val="C6FE494E"/>
    <w:rsid w:val="CDFE500C"/>
    <w:rsid w:val="D9EF03D0"/>
    <w:rsid w:val="E7578F02"/>
    <w:rsid w:val="EBBE0DC4"/>
    <w:rsid w:val="EEEF6DC9"/>
    <w:rsid w:val="F1FF6B1D"/>
    <w:rsid w:val="F376F626"/>
    <w:rsid w:val="F5E6347A"/>
    <w:rsid w:val="F9FF7982"/>
    <w:rsid w:val="FB8646CE"/>
    <w:rsid w:val="FD74DF39"/>
    <w:rsid w:val="FDF52E52"/>
    <w:rsid w:val="FE15B6A2"/>
    <w:rsid w:val="FE3DF4E2"/>
    <w:rsid w:val="FF6594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Body Text"/>
    <w:basedOn w:val="1"/>
    <w:qFormat/>
    <w:uiPriority w:val="0"/>
    <w:pPr>
      <w:ind w:left="220"/>
    </w:pPr>
    <w:rPr>
      <w:rFonts w:ascii="宋体" w:hAnsi="宋体"/>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1323</Words>
  <Characters>1468</Characters>
  <Lines>1</Lines>
  <Paragraphs>1</Paragraphs>
  <TotalTime>1</TotalTime>
  <ScaleCrop>false</ScaleCrop>
  <LinksUpToDate>false</LinksUpToDate>
  <CharactersWithSpaces>1469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2019-11-08T06:53:00Z</dcterms:created>
  <dc:creator>林振顺</dc:creator>
  <cp:lastModifiedBy>魏一平</cp:lastModifiedBy>
  <cp:lastPrinted>2020-09-12T02:55:00Z</cp:lastPrinted>
  <dcterms:modified xsi:type="dcterms:W3CDTF">2024-12-18T16:20:39Z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