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福建省药品监督管理局行政处罚信息公开表</w:t>
      </w:r>
    </w:p>
    <w:tbl>
      <w:tblPr>
        <w:tblStyle w:val="5"/>
        <w:tblW w:w="14658" w:type="dxa"/>
        <w:tblInd w:w="0" w:type="dxa"/>
        <w:tblLayout w:type="fixed"/>
        <w:tblCellMar>
          <w:top w:w="0" w:type="dxa"/>
          <w:left w:w="0" w:type="dxa"/>
          <w:bottom w:w="0" w:type="dxa"/>
          <w:right w:w="0" w:type="dxa"/>
        </w:tblCellMar>
      </w:tblPr>
      <w:tblGrid>
        <w:gridCol w:w="291"/>
        <w:gridCol w:w="893"/>
        <w:gridCol w:w="664"/>
        <w:gridCol w:w="851"/>
        <w:gridCol w:w="1134"/>
        <w:gridCol w:w="853"/>
        <w:gridCol w:w="4131"/>
        <w:gridCol w:w="2131"/>
        <w:gridCol w:w="1957"/>
        <w:gridCol w:w="1294"/>
        <w:gridCol w:w="459"/>
      </w:tblGrid>
      <w:tr>
        <w:tblPrEx>
          <w:tblCellMar>
            <w:top w:w="0" w:type="dxa"/>
            <w:left w:w="0" w:type="dxa"/>
            <w:bottom w:w="0" w:type="dxa"/>
            <w:right w:w="0" w:type="dxa"/>
          </w:tblCellMar>
        </w:tblPrEx>
        <w:trPr>
          <w:trHeight w:val="1481"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行政处罚决定书文号</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案件名称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违法企业名称或违法自然人姓名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违法企业社会信用代码</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法定代表人姓名</w:t>
            </w:r>
          </w:p>
        </w:tc>
        <w:tc>
          <w:tcPr>
            <w:tcW w:w="4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主要违法事实</w:t>
            </w:r>
          </w:p>
        </w:tc>
        <w:tc>
          <w:tcPr>
            <w:tcW w:w="21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行政处罚的种类和依据</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行政处罚的履行方式和期限</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做出处罚的机关名称和日期</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tblPrEx>
          <w:tblCellMar>
            <w:top w:w="0" w:type="dxa"/>
            <w:left w:w="0" w:type="dxa"/>
            <w:bottom w:w="0" w:type="dxa"/>
            <w:right w:w="0" w:type="dxa"/>
          </w:tblCellMar>
        </w:tblPrEx>
        <w:trPr>
          <w:trHeight w:val="90"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tabs>
                <w:tab w:val="left" w:pos="8964"/>
              </w:tabs>
              <w:kinsoku/>
              <w:wordWrap/>
              <w:overflowPunct/>
              <w:topLinePunct w:val="0"/>
              <w:autoSpaceDE/>
              <w:autoSpaceDN/>
              <w:bidi w:val="0"/>
              <w:adjustRightInd/>
              <w:snapToGrid/>
              <w:spacing w:before="156" w:beforeLines="50" w:after="156" w:afterLines="50" w:line="240" w:lineRule="auto"/>
              <w:ind w:left="0" w:leftChars="0" w:firstLine="0" w:firstLineChars="0"/>
              <w:jc w:val="both"/>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闽药监厦稽办处罚〔2024〕015号</w:t>
            </w:r>
          </w:p>
          <w:p>
            <w:pPr>
              <w:widowControl/>
              <w:spacing w:line="330" w:lineRule="atLeast"/>
              <w:jc w:val="left"/>
              <w:textAlignment w:val="center"/>
              <w:rPr>
                <w:rFonts w:hint="eastAsia" w:ascii="仿宋" w:hAnsi="仿宋" w:eastAsia="仿宋" w:cs="仿宋"/>
                <w:color w:val="000000"/>
                <w:kern w:val="2"/>
                <w:sz w:val="21"/>
                <w:szCs w:val="21"/>
                <w:lang w:val="en-US" w:eastAsia="zh-CN" w:bidi="ar-SA"/>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未按照经注册的产品技术要求生产一次性使用麻醉呼吸管路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厦门仁人医疗科技有限公司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 xml:space="preserve">91350200089931847U   </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葛迎松</w:t>
            </w:r>
          </w:p>
        </w:tc>
        <w:tc>
          <w:tcPr>
            <w:tcW w:w="413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440"/>
                <w:tab w:val="left" w:pos="8964"/>
              </w:tabs>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当事人未按照经注册的产品技术要求生产的一次性使用麻醉呼吸管路（批号：2023101805，型号规格：伸缩成人型），仓管员将用于一次性使用呼吸管路组件产品试生产所剩余的聚丙烯（PP)材质Y型接头（批号：2023090109，数量150个）当成聚氯乙烯（PVC）材质，与聚氯乙烯（PVC）材质Y型接头（批号为2023071301数量3865个）混淆一起发给生产人员，生产部使用了上述物料进行组装生产，最终成品数量为4000套。因在涉</w:t>
            </w:r>
            <w:bookmarkStart w:id="1" w:name="_GoBack"/>
            <w:bookmarkEnd w:id="1"/>
            <w:r>
              <w:rPr>
                <w:rFonts w:hint="eastAsia" w:ascii="仿宋" w:hAnsi="仿宋" w:eastAsia="仿宋" w:cs="仿宋"/>
                <w:color w:val="000000"/>
                <w:kern w:val="2"/>
                <w:sz w:val="21"/>
                <w:szCs w:val="21"/>
                <w:lang w:val="en-US" w:eastAsia="zh-CN" w:bidi="ar-SA"/>
              </w:rPr>
              <w:t>案批次4000套产品中错误使用的150个聚丙烯(PP)材料Y型接头组件中仅有150套，因此对150套使用了聚丙烯(PP)材质Y型接头产品，认定为违法产品。涉案产品未6套被我局厦门办用于监督抽检，全部的3994套产品尚未销售，无违法所得。经查，涉案批次一次性使用麻醉呼吸管路单价为5元/套，150套违法产品的货值金额为750元。</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tabs>
                <w:tab w:val="left" w:pos="8920"/>
              </w:tabs>
              <w:kinsoku/>
              <w:wordWrap/>
              <w:overflowPunct/>
              <w:topLinePunct w:val="0"/>
              <w:autoSpaceDE/>
              <w:autoSpaceDN/>
              <w:bidi w:val="0"/>
              <w:adjustRightInd/>
              <w:snapToGrid/>
              <w:spacing w:line="240" w:lineRule="auto"/>
              <w:ind w:left="0" w:firstLine="420" w:firstLineChars="200"/>
              <w:jc w:val="both"/>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依据《医疗器械监督管理条例》第八十六条第一款第二项、《福建省药品监管行政处罚裁量适用细则》第十一条第一款第二项、第三项、第七项的规定，给予当事人如下处理：</w:t>
            </w:r>
            <w:bookmarkStart w:id="0" w:name="_Hlk18882991"/>
          </w:p>
          <w:bookmarkEnd w:id="0"/>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line="240" w:lineRule="auto"/>
              <w:ind w:left="0" w:firstLine="420" w:firstLineChars="200"/>
              <w:jc w:val="both"/>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责令改正；</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line="240" w:lineRule="auto"/>
              <w:ind w:left="0" w:firstLine="420" w:firstLineChars="200"/>
              <w:jc w:val="both"/>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没收违法一次性使用麻醉呼吸管路产品（批号：2023101805，规格型号：伸缩成人型）150套；</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line="240" w:lineRule="auto"/>
              <w:ind w:left="0" w:firstLine="420" w:firstLineChars="200"/>
              <w:jc w:val="both"/>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罚款20000元整（贰万元整）。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textAlignment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当事人应自接到本行政处罚决定之日起15日内缴纳上述罚没款。当事人根据</w:t>
            </w:r>
            <w:r>
              <w:rPr>
                <w:rFonts w:ascii="Times New Roman" w:hAnsi="Times New Roman" w:eastAsia="仿宋" w:cs="Times New Roman"/>
                <w:color w:val="000000"/>
                <w:kern w:val="0"/>
                <w:szCs w:val="21"/>
                <w:lang w:bidi="ar"/>
              </w:rPr>
              <w:t>福建省药品监督管理局</w:t>
            </w:r>
            <w:r>
              <w:rPr>
                <w:rFonts w:hint="eastAsia" w:ascii="Times New Roman" w:hAnsi="Times New Roman" w:eastAsia="仿宋" w:cs="Times New Roman"/>
                <w:color w:val="000000"/>
                <w:kern w:val="0"/>
                <w:szCs w:val="21"/>
                <w:lang w:eastAsia="zh-CN" w:bidi="ar"/>
              </w:rPr>
              <w:t>厦门药品稽查办</w:t>
            </w:r>
            <w:r>
              <w:rPr>
                <w:rFonts w:hint="eastAsia" w:ascii="Times New Roman" w:hAnsi="Times New Roman" w:eastAsia="仿宋" w:cs="Times New Roman"/>
                <w:color w:val="000000"/>
                <w:szCs w:val="21"/>
              </w:rPr>
              <w:t>开具的行政处罚缴款通知书，自行选择缴款方式。逾期不缴纳罚款的，依据《中华人民共和国行政处罚法》第七十二条第一款的规定，我办将每日按罚款数额的百分之三加处罚款，并依法申请人民法院强制执行。</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福建省药品监督管理局，202</w:t>
            </w:r>
            <w:r>
              <w:rPr>
                <w:rFonts w:hint="eastAsia" w:ascii="Times New Roman" w:hAnsi="Times New Roman" w:eastAsia="仿宋" w:cs="Times New Roman"/>
                <w:color w:val="000000"/>
                <w:kern w:val="0"/>
                <w:szCs w:val="21"/>
                <w:lang w:val="en-US" w:eastAsia="zh-CN" w:bidi="ar"/>
              </w:rPr>
              <w:t>4</w:t>
            </w:r>
            <w:r>
              <w:rPr>
                <w:rFonts w:ascii="Times New Roman" w:hAnsi="Times New Roman" w:eastAsia="仿宋" w:cs="Times New Roman"/>
                <w:color w:val="000000"/>
                <w:kern w:val="0"/>
                <w:szCs w:val="21"/>
                <w:lang w:bidi="ar"/>
              </w:rPr>
              <w:t>年</w:t>
            </w:r>
            <w:r>
              <w:rPr>
                <w:rFonts w:hint="eastAsia" w:ascii="Times New Roman" w:hAnsi="Times New Roman" w:eastAsia="仿宋" w:cs="Times New Roman"/>
                <w:color w:val="000000"/>
                <w:kern w:val="0"/>
                <w:szCs w:val="21"/>
                <w:lang w:val="en-US" w:eastAsia="zh-CN" w:bidi="ar"/>
              </w:rPr>
              <w:t>11</w:t>
            </w:r>
            <w:r>
              <w:rPr>
                <w:rFonts w:ascii="Times New Roman" w:hAnsi="Times New Roman" w:eastAsia="仿宋" w:cs="Times New Roman"/>
                <w:color w:val="000000"/>
                <w:kern w:val="0"/>
                <w:szCs w:val="21"/>
                <w:lang w:bidi="ar"/>
              </w:rPr>
              <w:t>月</w:t>
            </w:r>
            <w:r>
              <w:rPr>
                <w:rFonts w:hint="eastAsia" w:ascii="Times New Roman" w:hAnsi="Times New Roman" w:eastAsia="仿宋" w:cs="Times New Roman"/>
                <w:color w:val="000000"/>
                <w:kern w:val="0"/>
                <w:szCs w:val="21"/>
                <w:lang w:val="en-US" w:eastAsia="zh-CN" w:bidi="ar"/>
              </w:rPr>
              <w:t>11</w:t>
            </w:r>
            <w:r>
              <w:rPr>
                <w:rFonts w:ascii="Times New Roman" w:hAnsi="Times New Roman" w:eastAsia="仿宋" w:cs="Times New Roman"/>
                <w:color w:val="000000"/>
                <w:kern w:val="0"/>
                <w:szCs w:val="21"/>
                <w:lang w:bidi="ar"/>
              </w:rPr>
              <w:t>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C540B"/>
    <w:multiLevelType w:val="singleLevel"/>
    <w:tmpl w:val="FBFC54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NzI1NDdjNTYzNzdhYjYwNTg3Zjk2YzQ1ZTMzZGMifQ=="/>
  </w:docVars>
  <w:rsids>
    <w:rsidRoot w:val="0AFC60A5"/>
    <w:rsid w:val="000871D5"/>
    <w:rsid w:val="000C202C"/>
    <w:rsid w:val="00133C4D"/>
    <w:rsid w:val="001C5893"/>
    <w:rsid w:val="00253D4B"/>
    <w:rsid w:val="002811F9"/>
    <w:rsid w:val="00334989"/>
    <w:rsid w:val="00484E35"/>
    <w:rsid w:val="004F3546"/>
    <w:rsid w:val="005318AB"/>
    <w:rsid w:val="006137C6"/>
    <w:rsid w:val="00647264"/>
    <w:rsid w:val="006E677A"/>
    <w:rsid w:val="007E6247"/>
    <w:rsid w:val="007F207E"/>
    <w:rsid w:val="00805F24"/>
    <w:rsid w:val="00855903"/>
    <w:rsid w:val="00B022D6"/>
    <w:rsid w:val="00BE4DCC"/>
    <w:rsid w:val="00CB19CA"/>
    <w:rsid w:val="00D841F8"/>
    <w:rsid w:val="00DB14C3"/>
    <w:rsid w:val="00DB2E1E"/>
    <w:rsid w:val="00DD5582"/>
    <w:rsid w:val="05E927E7"/>
    <w:rsid w:val="06DF09E6"/>
    <w:rsid w:val="0A8263CF"/>
    <w:rsid w:val="0AF353F0"/>
    <w:rsid w:val="0AFC60A5"/>
    <w:rsid w:val="0C616F42"/>
    <w:rsid w:val="0D9D6771"/>
    <w:rsid w:val="1CC47C11"/>
    <w:rsid w:val="1DAF4892"/>
    <w:rsid w:val="2B8C72D3"/>
    <w:rsid w:val="2E5B16E1"/>
    <w:rsid w:val="2EEB283A"/>
    <w:rsid w:val="2F383184"/>
    <w:rsid w:val="2FDF512F"/>
    <w:rsid w:val="35E525D1"/>
    <w:rsid w:val="388E5FDA"/>
    <w:rsid w:val="3AF79314"/>
    <w:rsid w:val="3DE206BA"/>
    <w:rsid w:val="4344143E"/>
    <w:rsid w:val="4AEC1DD8"/>
    <w:rsid w:val="4B227261"/>
    <w:rsid w:val="511C6458"/>
    <w:rsid w:val="53CE2445"/>
    <w:rsid w:val="55455002"/>
    <w:rsid w:val="577D2773"/>
    <w:rsid w:val="63EFA607"/>
    <w:rsid w:val="777E0EC0"/>
    <w:rsid w:val="7AC34CDF"/>
    <w:rsid w:val="7EFB055D"/>
    <w:rsid w:val="BFFFB265"/>
    <w:rsid w:val="D9BF0978"/>
    <w:rsid w:val="FABA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kern w:val="2"/>
      <w:sz w:val="18"/>
      <w:szCs w:val="18"/>
    </w:rPr>
  </w:style>
  <w:style w:type="character" w:customStyle="1" w:styleId="9">
    <w:name w:val="页脚 字符"/>
    <w:basedOn w:val="7"/>
    <w:link w:val="3"/>
    <w:qFormat/>
    <w:uiPriority w:val="0"/>
    <w:rPr>
      <w:rFonts w:asciiTheme="minorHAnsi" w:hAnsiTheme="minorHAnsi" w:eastAsiaTheme="minorEastAsia"/>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Lines>4</Lines>
  <Paragraphs>1</Paragraphs>
  <TotalTime>3</TotalTime>
  <ScaleCrop>false</ScaleCrop>
  <LinksUpToDate>false</LinksUpToDate>
  <CharactersWithSpaces>620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2019-11-06T22:53:00Z</dcterms:created>
  <dc:creator>林振顺</dc:creator>
  <cp:lastModifiedBy>admin123</cp:lastModifiedBy>
  <cp:lastPrinted>2022-10-11T19:16:00Z</cp:lastPrinted>
  <dcterms:modified xsi:type="dcterms:W3CDTF">2024-11-22T14:51:33Z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6DAAF781C2234710AFDF14651FA00923</vt:lpwstr>
  </property>
</Properties>
</file>