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4D827">
      <w:pPr>
        <w:widowControl/>
        <w:shd w:val="clear" w:color="auto" w:fill="FFFFFF"/>
        <w:spacing w:before="300" w:line="360" w:lineRule="atLeast"/>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shd w:val="clear" w:color="auto" w:fill="FFFFFF"/>
          <w:lang w:bidi="ar"/>
        </w:rPr>
        <w:t>福建省药品监督管理局行政处罚信息公开表</w:t>
      </w:r>
    </w:p>
    <w:tbl>
      <w:tblPr>
        <w:tblStyle w:val="5"/>
        <w:tblW w:w="14658" w:type="dxa"/>
        <w:tblInd w:w="0" w:type="dxa"/>
        <w:tblLayout w:type="fixed"/>
        <w:tblCellMar>
          <w:top w:w="0" w:type="dxa"/>
          <w:left w:w="0" w:type="dxa"/>
          <w:bottom w:w="0" w:type="dxa"/>
          <w:right w:w="0" w:type="dxa"/>
        </w:tblCellMar>
      </w:tblPr>
      <w:tblGrid>
        <w:gridCol w:w="291"/>
        <w:gridCol w:w="893"/>
        <w:gridCol w:w="664"/>
        <w:gridCol w:w="851"/>
        <w:gridCol w:w="1134"/>
        <w:gridCol w:w="853"/>
        <w:gridCol w:w="3673"/>
        <w:gridCol w:w="2409"/>
        <w:gridCol w:w="2137"/>
        <w:gridCol w:w="1294"/>
        <w:gridCol w:w="459"/>
      </w:tblGrid>
      <w:tr w14:paraId="6F557986">
        <w:tblPrEx>
          <w:tblCellMar>
            <w:top w:w="0" w:type="dxa"/>
            <w:left w:w="0" w:type="dxa"/>
            <w:bottom w:w="0" w:type="dxa"/>
            <w:right w:w="0" w:type="dxa"/>
          </w:tblCellMar>
        </w:tblPrEx>
        <w:trPr>
          <w:trHeight w:val="1481" w:hRule="atLeast"/>
        </w:trPr>
        <w:tc>
          <w:tcPr>
            <w:tcW w:w="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46A0F">
            <w:pPr>
              <w:widowControl/>
              <w:spacing w:line="360" w:lineRule="atLeas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序号</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52EAB">
            <w:pPr>
              <w:widowControl/>
              <w:spacing w:line="360" w:lineRule="atLeas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行政处罚决定书文号</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D9560">
            <w:pPr>
              <w:widowControl/>
              <w:spacing w:line="360" w:lineRule="atLeas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案件名称</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FAE4F">
            <w:pPr>
              <w:widowControl/>
              <w:spacing w:line="360" w:lineRule="atLeas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违法企业名称或违法自然人姓名</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D9F0B">
            <w:pPr>
              <w:widowControl/>
              <w:spacing w:line="360" w:lineRule="atLeas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违法企业社会信用代码</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125F4">
            <w:pPr>
              <w:widowControl/>
              <w:spacing w:line="360" w:lineRule="atLeas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法定代表人姓名</w:t>
            </w:r>
          </w:p>
        </w:tc>
        <w:tc>
          <w:tcPr>
            <w:tcW w:w="3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200A9">
            <w:pPr>
              <w:widowControl/>
              <w:spacing w:line="360" w:lineRule="atLeas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主要违法事实</w:t>
            </w: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DCC73">
            <w:pPr>
              <w:widowControl/>
              <w:spacing w:line="360" w:lineRule="atLeas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行政处罚的种类和依据</w:t>
            </w:r>
          </w:p>
        </w:tc>
        <w:tc>
          <w:tcPr>
            <w:tcW w:w="2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B38D4">
            <w:pPr>
              <w:widowControl/>
              <w:spacing w:line="360" w:lineRule="atLeas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行政处罚的履行方式和期限</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FE418">
            <w:pPr>
              <w:widowControl/>
              <w:spacing w:line="360" w:lineRule="atLeas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做出处罚的机关名称和日期</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586BA">
            <w:pPr>
              <w:widowControl/>
              <w:spacing w:line="360" w:lineRule="atLeas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备注</w:t>
            </w:r>
          </w:p>
        </w:tc>
      </w:tr>
      <w:tr w14:paraId="0EED959C">
        <w:tblPrEx>
          <w:tblCellMar>
            <w:top w:w="0" w:type="dxa"/>
            <w:left w:w="0" w:type="dxa"/>
            <w:bottom w:w="0" w:type="dxa"/>
            <w:right w:w="0" w:type="dxa"/>
          </w:tblCellMar>
        </w:tblPrEx>
        <w:trPr>
          <w:trHeight w:val="4475" w:hRule="atLeast"/>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6BF6">
            <w:pPr>
              <w:widowControl/>
              <w:spacing w:line="330" w:lineRule="atLeast"/>
              <w:jc w:val="center"/>
              <w:textAlignment w:val="center"/>
              <w:rPr>
                <w:rFonts w:ascii="Times New Roman" w:hAnsi="Times New Roman" w:eastAsia="仿宋" w:cs="Times New Roman"/>
                <w:color w:val="000000"/>
                <w:kern w:val="0"/>
                <w:szCs w:val="21"/>
                <w:lang w:bidi="ar"/>
              </w:rPr>
            </w:pPr>
            <w:r>
              <w:rPr>
                <w:rFonts w:hint="eastAsia" w:ascii="Times New Roman" w:hAnsi="Times New Roman" w:eastAsia="仿宋" w:cs="Times New Roman"/>
                <w:color w:val="000000"/>
                <w:kern w:val="0"/>
                <w:szCs w:val="21"/>
                <w:lang w:bidi="ar"/>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DA90">
            <w:pPr>
              <w:widowControl/>
              <w:spacing w:line="330" w:lineRule="atLeast"/>
              <w:jc w:val="left"/>
              <w:textAlignment w:val="center"/>
              <w:rPr>
                <w:rFonts w:ascii="Times New Roman" w:hAnsi="Times New Roman" w:eastAsia="仿宋" w:cs="Times New Roman"/>
                <w:szCs w:val="21"/>
              </w:rPr>
            </w:pPr>
            <w:r>
              <w:rPr>
                <w:rFonts w:hint="eastAsia" w:ascii="Times New Roman" w:hAnsi="Times New Roman" w:eastAsia="仿宋" w:cs="Times New Roman"/>
                <w:szCs w:val="21"/>
              </w:rPr>
              <w:t>闽药监厦稽办处罚〔2024〕01</w:t>
            </w:r>
            <w:r>
              <w:rPr>
                <w:rFonts w:hint="eastAsia" w:ascii="Times New Roman" w:hAnsi="Times New Roman" w:eastAsia="仿宋" w:cs="Times New Roman"/>
                <w:szCs w:val="21"/>
                <w:lang w:val="en-US" w:eastAsia="zh-CN"/>
              </w:rPr>
              <w:t>3</w:t>
            </w:r>
            <w:r>
              <w:rPr>
                <w:rFonts w:hint="eastAsia" w:ascii="Times New Roman" w:hAnsi="Times New Roman" w:eastAsia="仿宋" w:cs="Times New Roman"/>
                <w:szCs w:val="21"/>
              </w:rPr>
              <w:t>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3D0E">
            <w:pPr>
              <w:widowControl/>
              <w:spacing w:line="330" w:lineRule="atLeast"/>
              <w:jc w:val="left"/>
              <w:textAlignment w:val="center"/>
              <w:rPr>
                <w:rFonts w:hint="eastAsia" w:ascii="仿宋" w:hAnsi="仿宋" w:eastAsia="仿宋" w:cs="仿宋"/>
                <w:szCs w:val="21"/>
              </w:rPr>
            </w:pPr>
            <w:r>
              <w:rPr>
                <w:rFonts w:hint="eastAsia" w:ascii="仿宋" w:hAnsi="仿宋" w:eastAsia="仿宋" w:cs="仿宋"/>
                <w:szCs w:val="21"/>
              </w:rPr>
              <w:t>厦门年达医疗器械有限公司未经许可生产无注册证定制式固定义齿案</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58E2">
            <w:pPr>
              <w:widowControl/>
              <w:spacing w:line="330" w:lineRule="atLeast"/>
              <w:jc w:val="left"/>
              <w:textAlignment w:val="center"/>
              <w:rPr>
                <w:rFonts w:ascii="Times New Roman" w:hAnsi="Times New Roman" w:eastAsia="仿宋" w:cs="Times New Roman"/>
                <w:color w:val="000000"/>
                <w:kern w:val="0"/>
                <w:szCs w:val="21"/>
                <w:lang w:bidi="ar"/>
              </w:rPr>
            </w:pPr>
            <w:r>
              <w:rPr>
                <w:rFonts w:hint="eastAsia" w:ascii="仿宋" w:hAnsi="仿宋" w:eastAsia="仿宋" w:cs="仿宋"/>
                <w:szCs w:val="21"/>
              </w:rPr>
              <w:t>厦门年达医疗器械有限公司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DDDD">
            <w:pPr>
              <w:widowControl/>
              <w:spacing w:line="330" w:lineRule="atLeast"/>
              <w:jc w:val="center"/>
              <w:textAlignment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91350211302955072J</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1A2D">
            <w:pPr>
              <w:widowControl/>
              <w:spacing w:line="330" w:lineRule="atLeast"/>
              <w:jc w:val="center"/>
              <w:textAlignment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 xml:space="preserve">汪明同  </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1ED7">
            <w:pPr>
              <w:rPr>
                <w:rFonts w:hint="eastAsia" w:ascii="仿宋" w:hAnsi="仿宋" w:eastAsia="仿宋" w:cs="仿宋"/>
                <w:color w:val="000000"/>
                <w:szCs w:val="21"/>
              </w:rPr>
            </w:pPr>
            <w:r>
              <w:rPr>
                <w:rFonts w:hint="eastAsia" w:ascii="仿宋" w:hAnsi="仿宋" w:eastAsia="仿宋" w:cs="仿宋"/>
                <w:color w:val="000000"/>
                <w:szCs w:val="21"/>
              </w:rPr>
              <w:t>经查，当事人在知悉租赁方未取得定制式固定义齿《医疗器械注册证》和相应生产许可的情况下，仍将位于厦门市海沧区诗山北路11-2号501室厂房内一定数量的定制式固定义齿生产工位（配备了通用的空压机、吸尘器等生产设备）、1间存放原材料的独立库房等生产场所出租用于无证生产定制式固定义齿，在2021年12月至2022年4月合作期间，共取得24万元租金。</w:t>
            </w:r>
          </w:p>
          <w:p w14:paraId="2BD6901B">
            <w:pPr>
              <w:rPr>
                <w:rFonts w:hint="eastAsia" w:ascii="仿宋" w:hAnsi="仿宋" w:eastAsia="仿宋" w:cs="仿宋"/>
                <w:color w:val="000000"/>
                <w:szCs w:val="21"/>
              </w:rPr>
            </w:pPr>
            <w:r>
              <w:rPr>
                <w:rFonts w:hint="eastAsia" w:ascii="仿宋" w:hAnsi="仿宋" w:eastAsia="仿宋" w:cs="仿宋"/>
                <w:color w:val="000000"/>
                <w:szCs w:val="21"/>
              </w:rPr>
              <w:t>纪瓷美（厦门）医疗器械有限公司（以下简称纪瓷美）使用上述生产场所，组织自行招聘的生产操作人员，利用自行配备的烤瓷炉、切削机、扫描仪等生产设备，使用自行采购的原材料，通过灌模修模、扫描设计、排版切削、染色烧结、上瓷车瓷、上釉抛光等生产工序，完成了定制式固定义齿半成品的生产。随后，纪瓷美将定制式固定义齿放置于专用盒内，连同患者牙模和标注有患者姓名、牙位、加工要求、医疗机构等信息的加工单放在密封袋里，交由其位于厦门市海沧区后祥西路35号的纪瓷美厂房收发组工作人员统一进行消毒，统一打印质保卡、出货单，最后通过快递邮寄给客户。涉案产品所使用的专用盒、加工单和质保卡均未标注生产企业名称、生产地址、医疗器械生产许可证、医疗器械注册证等信息。经查，在上述合作期间，纪瓷美使用当事人提供的生产场所生产定制式固定义齿共计690颗，销售金额72200元。该销售款项应认定为涉案产品的货值金额，上述24万元租金应认定为当事人违法所得。</w:t>
            </w:r>
          </w:p>
          <w:p w14:paraId="1B23C45B">
            <w:pPr>
              <w:rPr>
                <w:rFonts w:hint="eastAsia" w:ascii="仿宋" w:hAnsi="仿宋" w:eastAsia="仿宋" w:cs="仿宋"/>
                <w:color w:val="000000"/>
                <w:szCs w:val="21"/>
              </w:rPr>
            </w:pPr>
            <w:r>
              <w:rPr>
                <w:rFonts w:hint="eastAsia" w:ascii="仿宋" w:hAnsi="仿宋" w:eastAsia="仿宋" w:cs="仿宋"/>
                <w:color w:val="000000"/>
                <w:szCs w:val="21"/>
              </w:rPr>
              <w:t>在双方合作期间，当事人未向壹角兽（厦门）医疗科技有限公司（以下简称壹角兽）或者纪瓷美提供持有的《营业执照》《医疗器械生产许可证》、所注册产品《医疗器械注册证》，未提供生产操作人员、原材料和和包装材料，未参与纪瓷美的现场生产管理，也未参与涉案产品销售活动，且涉案产品均未标注当事人信息内容。</w:t>
            </w:r>
          </w:p>
          <w:p w14:paraId="09AEBCEA">
            <w:pPr>
              <w:rPr>
                <w:rFonts w:hint="eastAsia" w:ascii="仿宋" w:hAnsi="仿宋" w:eastAsia="仿宋" w:cs="仿宋"/>
                <w:color w:val="000000"/>
                <w:szCs w:val="21"/>
              </w:rPr>
            </w:pPr>
            <w:r>
              <w:rPr>
                <w:rFonts w:hint="eastAsia" w:ascii="仿宋" w:hAnsi="仿宋" w:eastAsia="仿宋" w:cs="仿宋"/>
                <w:color w:val="000000"/>
                <w:szCs w:val="21"/>
              </w:rPr>
              <w:t>此外，当事人在出租生产场所期间，出租的工位数量最多达到30个，约占总工位数77%，而根据《医疗器械生产质量管理规范定制式义齿现场检查指导原则》，结合调查取证情况，当事人存在4条缺陷（其中，一般缺陷3条，严重缺陷1条），具体如下：</w:t>
            </w:r>
          </w:p>
          <w:p w14:paraId="7EFF9C53">
            <w:pPr>
              <w:rPr>
                <w:rFonts w:hint="eastAsia" w:ascii="仿宋" w:hAnsi="仿宋" w:eastAsia="仿宋" w:cs="仿宋"/>
                <w:color w:val="000000"/>
                <w:szCs w:val="21"/>
              </w:rPr>
            </w:pPr>
            <w:r>
              <w:rPr>
                <w:rFonts w:hint="eastAsia" w:ascii="仿宋" w:hAnsi="仿宋" w:eastAsia="仿宋" w:cs="仿宋"/>
                <w:color w:val="000000"/>
                <w:szCs w:val="21"/>
              </w:rPr>
              <w:t>1.当事人未对纪瓷美生产岗位人员进行岗前培训，未确认相关人员掌握岗位的技术和操作要求的能力，无法有效防止人员误操作导致生产偏差的情况产生。（1.6.1）</w:t>
            </w:r>
          </w:p>
          <w:p w14:paraId="42A1157B">
            <w:pPr>
              <w:rPr>
                <w:rFonts w:hint="eastAsia" w:ascii="仿宋" w:hAnsi="仿宋" w:eastAsia="仿宋" w:cs="仿宋"/>
                <w:color w:val="000000"/>
                <w:szCs w:val="21"/>
              </w:rPr>
            </w:pPr>
            <w:r>
              <w:rPr>
                <w:rFonts w:hint="eastAsia" w:ascii="仿宋" w:hAnsi="仿宋" w:eastAsia="仿宋" w:cs="仿宋"/>
                <w:color w:val="000000"/>
                <w:szCs w:val="21"/>
              </w:rPr>
              <w:t>2.当事人未掌握纪瓷美生产岗位人员健康状态，存在纪瓷美生产岗位人员的健康隐患造成污染产品的风险。（1.8.1）</w:t>
            </w:r>
          </w:p>
          <w:p w14:paraId="6DFAAC61">
            <w:pPr>
              <w:rPr>
                <w:rFonts w:hint="eastAsia" w:ascii="仿宋" w:hAnsi="仿宋" w:eastAsia="仿宋" w:cs="仿宋"/>
                <w:color w:val="000000"/>
                <w:szCs w:val="21"/>
              </w:rPr>
            </w:pPr>
            <w:r>
              <w:rPr>
                <w:rFonts w:hint="eastAsia" w:ascii="仿宋" w:hAnsi="仿宋" w:eastAsia="仿宋" w:cs="仿宋"/>
                <w:color w:val="000000"/>
                <w:szCs w:val="21"/>
              </w:rPr>
              <w:t>3.当事人未对纪瓷美提供的烤瓷炉、切削机、扫描仪等生产设备进行确认，未建立相关设备的使用、清洁、维护和维修操作规程，未能确保相关设备有效运行、符合预期使用要求。（*3.1.1）</w:t>
            </w:r>
          </w:p>
          <w:p w14:paraId="0625CB08">
            <w:pPr>
              <w:rPr>
                <w:rFonts w:hint="eastAsia" w:ascii="仿宋" w:hAnsi="仿宋" w:eastAsia="仿宋" w:cs="仿宋"/>
                <w:color w:val="000000"/>
                <w:szCs w:val="21"/>
              </w:rPr>
            </w:pPr>
            <w:r>
              <w:rPr>
                <w:rFonts w:hint="eastAsia" w:ascii="仿宋" w:hAnsi="仿宋" w:eastAsia="仿宋" w:cs="仿宋"/>
                <w:color w:val="000000"/>
                <w:szCs w:val="21"/>
              </w:rPr>
              <w:t>4.当事人未做好出租生产工位的物理隔断或产品标识，且与纪瓷美共线生产，存在误操作、产品混淆等产品质量风险。（7.10.1）</w:t>
            </w:r>
          </w:p>
          <w:p w14:paraId="5F96A9A2">
            <w:pPr>
              <w:rPr>
                <w:rFonts w:hint="eastAsia" w:ascii="仿宋" w:hAnsi="仿宋" w:eastAsia="仿宋" w:cs="仿宋"/>
                <w:color w:val="000000"/>
                <w:szCs w:val="21"/>
              </w:rPr>
            </w:pPr>
            <w:r>
              <w:rPr>
                <w:rFonts w:hint="eastAsia" w:ascii="仿宋" w:hAnsi="仿宋" w:eastAsia="仿宋" w:cs="仿宋"/>
                <w:color w:val="000000"/>
                <w:szCs w:val="21"/>
              </w:rPr>
              <w:t>综上，当事人的生产条件发生了较大变化，不再符合医疗器械质量管理体系要求，可能影响生产的定制式固定义齿的安全性、有效性。而根据当事人提交的2021、2022年度质量管理体系自查报告，未报告出租生产场所并因此导致的生产条件发生变化的情况，未按规定整改，未有停产情况的内容。</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870E">
            <w:pPr>
              <w:tabs>
                <w:tab w:val="left" w:pos="2440"/>
                <w:tab w:val="left" w:pos="8964"/>
              </w:tabs>
              <w:rPr>
                <w:rFonts w:hint="eastAsia" w:ascii="仿宋" w:hAnsi="仿宋" w:eastAsia="仿宋" w:cs="仿宋"/>
                <w:color w:val="000000"/>
                <w:szCs w:val="21"/>
              </w:rPr>
            </w:pPr>
            <w:r>
              <w:rPr>
                <w:rFonts w:hint="eastAsia" w:ascii="仿宋" w:hAnsi="仿宋" w:eastAsia="仿宋" w:cs="仿宋"/>
                <w:color w:val="000000"/>
                <w:szCs w:val="21"/>
              </w:rPr>
              <w:t>依据《医疗器械监督管理条例》第八十一条第一款第一项、第二项、第八十八条第一项、《中华人民共和国行政处罚法》第二十八条第一款、《福建省药品监管行政处罚裁量适用细则》第十一条第一款第二项、第五项、第七项、第十六条的规定，对当事人与纪瓷美共同构成未经许可生产无注册证定制式固定义齿的违法行为按从轻处罚等级进行量罚，处货值金额15倍罚款，即罚款1083000元，而当事人按20%比例承担罚款，即对当事人处理如下：</w:t>
            </w:r>
          </w:p>
          <w:p w14:paraId="44ADB92E">
            <w:pPr>
              <w:tabs>
                <w:tab w:val="left" w:pos="2440"/>
                <w:tab w:val="left" w:pos="8964"/>
              </w:tabs>
              <w:rPr>
                <w:rFonts w:hint="eastAsia" w:ascii="仿宋" w:hAnsi="仿宋" w:eastAsia="仿宋" w:cs="仿宋"/>
                <w:color w:val="000000"/>
                <w:szCs w:val="21"/>
              </w:rPr>
            </w:pPr>
            <w:r>
              <w:rPr>
                <w:rFonts w:hint="eastAsia" w:ascii="仿宋" w:hAnsi="仿宋" w:eastAsia="仿宋" w:cs="仿宋"/>
                <w:color w:val="000000"/>
                <w:szCs w:val="21"/>
              </w:rPr>
              <w:t>（一）责令改正违法行为；</w:t>
            </w:r>
          </w:p>
          <w:p w14:paraId="51E50503">
            <w:pPr>
              <w:tabs>
                <w:tab w:val="left" w:pos="2440"/>
                <w:tab w:val="left" w:pos="8964"/>
              </w:tabs>
              <w:rPr>
                <w:rFonts w:hint="eastAsia" w:ascii="仿宋" w:hAnsi="仿宋" w:eastAsia="仿宋" w:cs="仿宋"/>
                <w:color w:val="000000"/>
                <w:szCs w:val="21"/>
              </w:rPr>
            </w:pPr>
            <w:r>
              <w:rPr>
                <w:rFonts w:hint="eastAsia" w:ascii="仿宋" w:hAnsi="仿宋" w:eastAsia="仿宋" w:cs="仿宋"/>
                <w:color w:val="000000"/>
                <w:szCs w:val="21"/>
              </w:rPr>
              <w:t>（二）没收违法所得240000元（贰拾肆万元整）；</w:t>
            </w:r>
          </w:p>
          <w:p w14:paraId="3375D92D">
            <w:pPr>
              <w:tabs>
                <w:tab w:val="left" w:pos="2440"/>
                <w:tab w:val="left" w:pos="8964"/>
              </w:tabs>
              <w:rPr>
                <w:rFonts w:hint="eastAsia" w:ascii="仿宋" w:hAnsi="仿宋" w:eastAsia="仿宋" w:cs="仿宋"/>
                <w:color w:val="000000"/>
                <w:szCs w:val="21"/>
              </w:rPr>
            </w:pPr>
            <w:r>
              <w:rPr>
                <w:rFonts w:hint="eastAsia" w:ascii="仿宋" w:hAnsi="仿宋" w:eastAsia="仿宋" w:cs="仿宋"/>
                <w:color w:val="000000"/>
                <w:szCs w:val="21"/>
              </w:rPr>
              <w:t>（三）罚款216600元（贰拾壹万陆仟陆佰元整）。</w:t>
            </w:r>
          </w:p>
          <w:p w14:paraId="3BB04C03">
            <w:pPr>
              <w:tabs>
                <w:tab w:val="left" w:pos="2440"/>
                <w:tab w:val="left" w:pos="8964"/>
              </w:tabs>
              <w:rPr>
                <w:rFonts w:hint="eastAsia" w:ascii="仿宋" w:hAnsi="仿宋" w:eastAsia="仿宋" w:cs="仿宋"/>
                <w:color w:val="000000"/>
                <w:szCs w:val="21"/>
              </w:rPr>
            </w:pPr>
            <w:r>
              <w:rPr>
                <w:rFonts w:hint="eastAsia" w:ascii="仿宋" w:hAnsi="仿宋" w:eastAsia="仿宋" w:cs="仿宋"/>
                <w:color w:val="000000"/>
                <w:szCs w:val="21"/>
              </w:rPr>
              <w:t>上述罚没款合计456600元（肆拾伍万陆仟陆佰元整）。</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FC67">
            <w:pPr>
              <w:widowControl/>
              <w:spacing w:line="330" w:lineRule="atLeast"/>
              <w:textAlignment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当事人应自接到本行政处罚决定之日起15日内缴纳上述罚没款。根据我局厦门药品稽查办开具的行政处罚缴款通知书，当事人自行选择缴款方式。逾期不缴纳罚款的，依据《行政处罚法》第七十二条的规定，我局将每日按罚款数额的百分之三加处罚款，并依法申请人民法院强制执行。</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9AAD">
            <w:pPr>
              <w:widowControl/>
              <w:spacing w:line="330" w:lineRule="atLeast"/>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福建省药品监督管理局，202</w:t>
            </w:r>
            <w:r>
              <w:rPr>
                <w:rFonts w:hint="eastAsia" w:ascii="Times New Roman" w:hAnsi="Times New Roman" w:eastAsia="仿宋" w:cs="Times New Roman"/>
                <w:color w:val="000000"/>
                <w:kern w:val="0"/>
                <w:szCs w:val="21"/>
                <w:lang w:bidi="ar"/>
              </w:rPr>
              <w:t>4</w:t>
            </w:r>
            <w:r>
              <w:rPr>
                <w:rFonts w:ascii="Times New Roman" w:hAnsi="Times New Roman" w:eastAsia="仿宋" w:cs="Times New Roman"/>
                <w:color w:val="000000"/>
                <w:kern w:val="0"/>
                <w:szCs w:val="21"/>
                <w:lang w:bidi="ar"/>
              </w:rPr>
              <w:t>年</w:t>
            </w:r>
            <w:r>
              <w:rPr>
                <w:rFonts w:hint="eastAsia" w:ascii="Times New Roman" w:hAnsi="Times New Roman" w:eastAsia="仿宋" w:cs="Times New Roman"/>
                <w:color w:val="000000"/>
                <w:kern w:val="0"/>
                <w:szCs w:val="21"/>
                <w:lang w:val="en-US" w:eastAsia="zh-CN" w:bidi="ar"/>
              </w:rPr>
              <w:t>9</w:t>
            </w:r>
            <w:r>
              <w:rPr>
                <w:rFonts w:ascii="Times New Roman" w:hAnsi="Times New Roman" w:eastAsia="仿宋" w:cs="Times New Roman"/>
                <w:color w:val="000000"/>
                <w:kern w:val="0"/>
                <w:szCs w:val="21"/>
                <w:lang w:bidi="ar"/>
              </w:rPr>
              <w:t>月</w:t>
            </w:r>
            <w:r>
              <w:rPr>
                <w:rFonts w:hint="eastAsia" w:ascii="Times New Roman" w:hAnsi="Times New Roman" w:eastAsia="仿宋" w:cs="Times New Roman"/>
                <w:color w:val="000000"/>
                <w:kern w:val="0"/>
                <w:szCs w:val="21"/>
                <w:lang w:val="en-US" w:eastAsia="zh-CN" w:bidi="ar"/>
              </w:rPr>
              <w:t>23</w:t>
            </w:r>
            <w:r>
              <w:rPr>
                <w:rFonts w:ascii="Times New Roman" w:hAnsi="Times New Roman" w:eastAsia="仿宋" w:cs="Times New Roman"/>
                <w:color w:val="000000"/>
                <w:kern w:val="0"/>
                <w:szCs w:val="21"/>
                <w:lang w:bidi="ar"/>
              </w:rPr>
              <w:t>日。</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6591">
            <w:pPr>
              <w:widowControl/>
              <w:spacing w:line="330" w:lineRule="atLeast"/>
              <w:jc w:val="left"/>
              <w:textAlignment w:val="center"/>
              <w:rPr>
                <w:rFonts w:ascii="Times New Roman" w:hAnsi="Times New Roman" w:eastAsia="仿宋" w:cs="Times New Roman"/>
                <w:color w:val="000000"/>
                <w:kern w:val="0"/>
                <w:szCs w:val="21"/>
                <w:lang w:bidi="ar"/>
              </w:rPr>
            </w:pPr>
          </w:p>
        </w:tc>
      </w:tr>
    </w:tbl>
    <w:tbl>
      <w:tblPr>
        <w:tblStyle w:val="5"/>
        <w:tblpPr w:leftFromText="180" w:rightFromText="180" w:vertAnchor="page" w:horzAnchor="page" w:tblpX="1237" w:tblpY="1758"/>
        <w:tblOverlap w:val="never"/>
        <w:tblW w:w="14447" w:type="dxa"/>
        <w:tblInd w:w="0" w:type="dxa"/>
        <w:tblLayout w:type="fixed"/>
        <w:tblCellMar>
          <w:top w:w="0" w:type="dxa"/>
          <w:left w:w="0" w:type="dxa"/>
          <w:bottom w:w="0" w:type="dxa"/>
          <w:right w:w="0" w:type="dxa"/>
        </w:tblCellMar>
      </w:tblPr>
      <w:tblGrid>
        <w:gridCol w:w="674"/>
        <w:gridCol w:w="1077"/>
        <w:gridCol w:w="719"/>
        <w:gridCol w:w="1088"/>
        <w:gridCol w:w="919"/>
        <w:gridCol w:w="664"/>
        <w:gridCol w:w="2162"/>
        <w:gridCol w:w="3694"/>
        <w:gridCol w:w="1777"/>
        <w:gridCol w:w="1200"/>
        <w:gridCol w:w="473"/>
      </w:tblGrid>
      <w:tr w14:paraId="7844299B">
        <w:tblPrEx>
          <w:tblCellMar>
            <w:top w:w="0" w:type="dxa"/>
            <w:left w:w="0" w:type="dxa"/>
            <w:bottom w:w="0" w:type="dxa"/>
            <w:right w:w="0" w:type="dxa"/>
          </w:tblCellMar>
        </w:tblPrEx>
        <w:trPr>
          <w:cantSplit/>
          <w:trHeight w:val="6323"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30AE">
            <w:pPr>
              <w:keepNext w:val="0"/>
              <w:keepLines/>
              <w:pageBreakBefore w:val="0"/>
              <w:widowControl/>
              <w:kinsoku/>
              <w:wordWrap/>
              <w:overflowPunct/>
              <w:topLinePunct w:val="0"/>
              <w:autoSpaceDE/>
              <w:autoSpaceDN/>
              <w:bidi w:val="0"/>
              <w:adjustRightInd/>
              <w:snapToGrid/>
              <w:spacing w:line="240" w:lineRule="exact"/>
              <w:ind w:right="0" w:rightChars="0"/>
              <w:jc w:val="both"/>
              <w:textAlignment w:val="center"/>
              <w:outlineLvl w:val="9"/>
              <w:rPr>
                <w:rFonts w:hint="eastAsia" w:ascii="仿宋_GB2312" w:hAnsi="仿宋_GB2312" w:eastAsia="仿宋_GB2312" w:cs="仿宋_GB2312"/>
                <w:bCs/>
                <w:kern w:val="0"/>
                <w:sz w:val="21"/>
                <w:szCs w:val="21"/>
                <w:lang w:val="en-US" w:eastAsia="zh-CN" w:bidi="ar"/>
              </w:rPr>
            </w:pPr>
            <w:r>
              <w:rPr>
                <w:rFonts w:hint="eastAsia" w:ascii="仿宋_GB2312" w:hAnsi="仿宋_GB2312" w:eastAsia="仿宋_GB2312" w:cs="仿宋_GB2312"/>
                <w:bCs/>
                <w:kern w:val="0"/>
                <w:sz w:val="21"/>
                <w:szCs w:val="21"/>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C2C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闽药监厦稽办处罚〔2024〕012号</w:t>
            </w:r>
          </w:p>
          <w:p w14:paraId="2E69BE25">
            <w:pPr>
              <w:keepNext w:val="0"/>
              <w:keepLines/>
              <w:pageBreakBefore w:val="0"/>
              <w:widowControl/>
              <w:kinsoku/>
              <w:wordWrap/>
              <w:overflowPunct/>
              <w:topLinePunct w:val="0"/>
              <w:autoSpaceDE/>
              <w:autoSpaceDN/>
              <w:bidi w:val="0"/>
              <w:adjustRightInd/>
              <w:snapToGrid/>
              <w:spacing w:line="240" w:lineRule="exact"/>
              <w:ind w:right="0" w:rightChars="0"/>
              <w:jc w:val="both"/>
              <w:textAlignment w:val="center"/>
              <w:outlineLvl w:val="9"/>
              <w:rPr>
                <w:rFonts w:hint="eastAsia" w:ascii="仿宋_GB2312" w:hAnsi="仿宋_GB2312" w:eastAsia="仿宋_GB2312" w:cs="仿宋_GB2312"/>
                <w:bCs/>
                <w:kern w:val="0"/>
                <w:sz w:val="21"/>
                <w:szCs w:val="21"/>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20E9">
            <w:pPr>
              <w:keepNext w:val="0"/>
              <w:keepLines w:val="0"/>
              <w:pageBreakBefore w:val="0"/>
              <w:widowControl w:val="0"/>
              <w:kinsoku/>
              <w:wordWrap/>
              <w:overflowPunct/>
              <w:topLinePunct w:val="0"/>
              <w:autoSpaceDE/>
              <w:autoSpaceDN/>
              <w:bidi w:val="0"/>
              <w:adjustRightInd/>
              <w:snapToGrid/>
              <w:spacing w:line="240" w:lineRule="exact"/>
              <w:ind w:left="168" w:leftChars="80" w:right="168" w:rightChars="80" w:firstLine="0" w:firstLineChars="0"/>
              <w:jc w:val="both"/>
              <w:textAlignment w:val="auto"/>
              <w:outlineLvl w:val="9"/>
              <w:rPr>
                <w:rFonts w:hint="eastAsia" w:ascii="仿宋_GB2312" w:hAnsi="仿宋_GB2312" w:eastAsia="仿宋_GB2312" w:cs="仿宋_GB2312"/>
                <w:bCs/>
                <w:kern w:val="0"/>
                <w:sz w:val="21"/>
                <w:szCs w:val="21"/>
                <w:lang w:val="en-US" w:eastAsia="zh-CN" w:bidi="ar"/>
              </w:rPr>
            </w:pPr>
            <w:r>
              <w:rPr>
                <w:rFonts w:hint="eastAsia" w:ascii="仿宋" w:hAnsi="仿宋" w:eastAsia="仿宋" w:cs="仿宋"/>
                <w:color w:val="000000"/>
                <w:szCs w:val="21"/>
                <w:lang w:val="en-US" w:eastAsia="zh-CN"/>
              </w:rPr>
              <w:t>全药通（厦门）科技发展有限公司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3DFA">
            <w:pPr>
              <w:keepNext w:val="0"/>
              <w:keepLines w:val="0"/>
              <w:pageBreakBefore w:val="0"/>
              <w:widowControl w:val="0"/>
              <w:kinsoku/>
              <w:wordWrap/>
              <w:overflowPunct/>
              <w:topLinePunct w:val="0"/>
              <w:autoSpaceDE/>
              <w:autoSpaceDN/>
              <w:bidi w:val="0"/>
              <w:adjustRightInd/>
              <w:snapToGrid/>
              <w:spacing w:line="240" w:lineRule="exact"/>
              <w:ind w:left="168" w:leftChars="80" w:right="168" w:rightChars="80" w:firstLine="0" w:firstLineChars="0"/>
              <w:jc w:val="both"/>
              <w:textAlignment w:val="auto"/>
              <w:outlineLvl w:val="9"/>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全药通（厦门）科技发展有限公司运营的药品网络交易第三方平台“全药通”未及时停止提供网络交易平台服务、未及时停止展示国家实行</w:t>
            </w:r>
            <w:bookmarkStart w:id="1" w:name="_GoBack"/>
            <w:bookmarkEnd w:id="1"/>
            <w:r>
              <w:rPr>
                <w:rFonts w:hint="eastAsia" w:ascii="仿宋" w:hAnsi="仿宋" w:eastAsia="仿宋" w:cs="仿宋"/>
                <w:color w:val="000000"/>
                <w:szCs w:val="21"/>
                <w:lang w:val="en-US" w:eastAsia="zh-CN"/>
              </w:rPr>
              <w:t>特殊管理的药品右美沙芬单方制剂一案</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CC06">
            <w:pPr>
              <w:keepNext w:val="0"/>
              <w:keepLines w:val="0"/>
              <w:pageBreakBefore w:val="0"/>
              <w:widowControl w:val="0"/>
              <w:kinsoku/>
              <w:wordWrap/>
              <w:overflowPunct/>
              <w:topLinePunct w:val="0"/>
              <w:autoSpaceDE/>
              <w:autoSpaceDN/>
              <w:bidi w:val="0"/>
              <w:adjustRightInd/>
              <w:snapToGrid/>
              <w:spacing w:line="240" w:lineRule="exact"/>
              <w:ind w:left="168" w:leftChars="80" w:right="168" w:rightChars="80" w:firstLine="0" w:firstLineChars="0"/>
              <w:jc w:val="both"/>
              <w:textAlignment w:val="auto"/>
              <w:outlineLvl w:val="9"/>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91350200058378276F</w:t>
            </w:r>
          </w:p>
          <w:p w14:paraId="566E3834">
            <w:pPr>
              <w:keepNext w:val="0"/>
              <w:keepLines w:val="0"/>
              <w:pageBreakBefore w:val="0"/>
              <w:widowControl w:val="0"/>
              <w:kinsoku/>
              <w:wordWrap/>
              <w:overflowPunct/>
              <w:topLinePunct w:val="0"/>
              <w:autoSpaceDE/>
              <w:autoSpaceDN/>
              <w:bidi w:val="0"/>
              <w:adjustRightInd/>
              <w:snapToGrid/>
              <w:spacing w:line="240" w:lineRule="exact"/>
              <w:ind w:left="168" w:leftChars="80" w:right="168" w:rightChars="80" w:firstLine="0" w:firstLineChars="0"/>
              <w:jc w:val="both"/>
              <w:textAlignment w:val="auto"/>
              <w:outlineLvl w:val="9"/>
              <w:rPr>
                <w:rFonts w:hint="eastAsia" w:ascii="仿宋" w:hAnsi="仿宋" w:eastAsia="仿宋" w:cs="仿宋"/>
                <w:color w:val="000000"/>
                <w:szCs w:val="21"/>
                <w:lang w:val="en-US" w:eastAsia="zh-CN"/>
              </w:rPr>
            </w:pPr>
          </w:p>
          <w:p w14:paraId="47F1CD53">
            <w:pPr>
              <w:keepNext w:val="0"/>
              <w:keepLines w:val="0"/>
              <w:pageBreakBefore w:val="0"/>
              <w:widowControl w:val="0"/>
              <w:kinsoku/>
              <w:wordWrap/>
              <w:overflowPunct/>
              <w:topLinePunct w:val="0"/>
              <w:autoSpaceDE/>
              <w:autoSpaceDN/>
              <w:bidi w:val="0"/>
              <w:adjustRightInd/>
              <w:snapToGrid/>
              <w:spacing w:line="240" w:lineRule="exact"/>
              <w:ind w:left="168" w:leftChars="80" w:right="168" w:rightChars="80" w:firstLine="0" w:firstLineChars="0"/>
              <w:jc w:val="both"/>
              <w:textAlignment w:val="auto"/>
              <w:outlineLvl w:val="9"/>
              <w:rPr>
                <w:rFonts w:hint="eastAsia" w:ascii="仿宋" w:hAnsi="仿宋" w:eastAsia="仿宋" w:cs="仿宋"/>
                <w:color w:val="000000"/>
                <w:szCs w:val="21"/>
                <w:lang w:val="en-US" w:eastAsia="zh-CN"/>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6FF6">
            <w:pPr>
              <w:keepNext w:val="0"/>
              <w:keepLines w:val="0"/>
              <w:pageBreakBefore w:val="0"/>
              <w:widowControl w:val="0"/>
              <w:kinsoku/>
              <w:wordWrap/>
              <w:overflowPunct/>
              <w:topLinePunct w:val="0"/>
              <w:autoSpaceDE/>
              <w:autoSpaceDN/>
              <w:bidi w:val="0"/>
              <w:adjustRightInd/>
              <w:snapToGrid/>
              <w:spacing w:line="240" w:lineRule="exact"/>
              <w:ind w:left="168" w:leftChars="80" w:right="168" w:rightChars="80" w:firstLine="0" w:firstLineChars="0"/>
              <w:jc w:val="both"/>
              <w:textAlignment w:val="auto"/>
              <w:outlineLvl w:val="9"/>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杨铁新</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CA44">
            <w:pPr>
              <w:keepNext w:val="0"/>
              <w:keepLines w:val="0"/>
              <w:pageBreakBefore w:val="0"/>
              <w:widowControl w:val="0"/>
              <w:kinsoku/>
              <w:wordWrap/>
              <w:overflowPunct/>
              <w:topLinePunct w:val="0"/>
              <w:autoSpaceDE/>
              <w:autoSpaceDN/>
              <w:bidi w:val="0"/>
              <w:adjustRightInd/>
              <w:snapToGrid/>
              <w:spacing w:line="240" w:lineRule="exact"/>
              <w:ind w:left="168" w:leftChars="80" w:right="168" w:rightChars="80" w:firstLine="0" w:firstLineChars="0"/>
              <w:jc w:val="both"/>
              <w:textAlignment w:val="auto"/>
              <w:outlineLvl w:val="9"/>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2023年2月13日至2024年5月8日，4家药品网络销售企业在全药通展示并销售右美沙芬单方制剂，当事人与上述4家企业签订《全药通平台卖家合作服务合同》，为其提供网络交易平台服务，展示其销售的药品相关信息，收取网络推广技术服务费1449元。</w:t>
            </w:r>
          </w:p>
          <w:p w14:paraId="326F8C43">
            <w:pPr>
              <w:keepNext w:val="0"/>
              <w:keepLines w:val="0"/>
              <w:pageBreakBefore w:val="0"/>
              <w:widowControl w:val="0"/>
              <w:kinsoku/>
              <w:wordWrap/>
              <w:overflowPunct/>
              <w:topLinePunct w:val="0"/>
              <w:autoSpaceDE/>
              <w:autoSpaceDN/>
              <w:bidi w:val="0"/>
              <w:adjustRightInd/>
              <w:snapToGrid/>
              <w:spacing w:line="240" w:lineRule="exact"/>
              <w:ind w:left="168" w:leftChars="80" w:right="168" w:rightChars="80" w:firstLine="0" w:firstLineChars="0"/>
              <w:jc w:val="both"/>
              <w:textAlignment w:val="auto"/>
              <w:outlineLvl w:val="9"/>
              <w:rPr>
                <w:rFonts w:hint="eastAsia" w:ascii="仿宋" w:hAnsi="仿宋" w:eastAsia="仿宋" w:cs="仿宋"/>
                <w:color w:val="000000"/>
                <w:szCs w:val="21"/>
                <w:lang w:val="en-US" w:eastAsia="zh-CN"/>
              </w:rPr>
            </w:pP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top"/>
          </w:tcPr>
          <w:p w14:paraId="51807773">
            <w:pPr>
              <w:keepNext w:val="0"/>
              <w:keepLines w:val="0"/>
              <w:pageBreakBefore w:val="0"/>
              <w:widowControl w:val="0"/>
              <w:kinsoku/>
              <w:wordWrap/>
              <w:overflowPunct/>
              <w:topLinePunct w:val="0"/>
              <w:autoSpaceDE/>
              <w:autoSpaceDN/>
              <w:bidi w:val="0"/>
              <w:adjustRightInd/>
              <w:snapToGrid/>
              <w:spacing w:line="240" w:lineRule="exact"/>
              <w:ind w:left="168" w:leftChars="80" w:right="168" w:rightChars="80" w:firstLine="0" w:firstLineChars="0"/>
              <w:jc w:val="both"/>
              <w:textAlignment w:val="auto"/>
              <w:outlineLvl w:val="9"/>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根据《药品网络销售监督管理办法》（自2022年12月1日起施行）第八条第二款、《</w:t>
            </w:r>
            <w:r>
              <w:rPr>
                <w:rFonts w:hint="default" w:ascii="仿宋" w:hAnsi="仿宋" w:eastAsia="仿宋" w:cs="仿宋"/>
                <w:color w:val="000000"/>
                <w:szCs w:val="21"/>
                <w:lang w:val="en-US" w:eastAsia="zh-CN"/>
              </w:rPr>
              <w:t>国家药监局综合司 公安部办公厅 国家邮政局办公室关于进一步加强复方地芬诺酯片等药品管理的通知</w:t>
            </w:r>
            <w:r>
              <w:rPr>
                <w:rFonts w:hint="eastAsia" w:ascii="仿宋" w:hAnsi="仿宋" w:eastAsia="仿宋" w:cs="仿宋"/>
                <w:color w:val="000000"/>
                <w:szCs w:val="21"/>
                <w:lang w:val="en-US" w:eastAsia="zh-CN"/>
              </w:rPr>
              <w:t>》(</w:t>
            </w:r>
            <w:r>
              <w:rPr>
                <w:rFonts w:hint="default" w:ascii="仿宋" w:hAnsi="仿宋" w:eastAsia="仿宋" w:cs="仿宋"/>
                <w:color w:val="000000"/>
                <w:szCs w:val="21"/>
                <w:lang w:val="en-US" w:eastAsia="zh-CN"/>
              </w:rPr>
              <w:t>药监综药管〔2023〕13号</w:t>
            </w:r>
            <w:r>
              <w:rPr>
                <w:rFonts w:hint="eastAsia" w:ascii="仿宋" w:hAnsi="仿宋" w:eastAsia="仿宋" w:cs="仿宋"/>
                <w:color w:val="000000"/>
                <w:szCs w:val="21"/>
                <w:lang w:val="en-US" w:eastAsia="zh-CN"/>
              </w:rPr>
              <w:t>，国家药品监督管理局官网于2023年2月13日发布)第三点规定，2023年2月13日起，右美沙芬单方制剂不得在网络上销售。当事人发现4家药品网络销售企业在全药通销售右美沙芬单方制剂，但未及时</w:t>
            </w:r>
            <w:r>
              <w:rPr>
                <w:rFonts w:hint="default" w:ascii="仿宋" w:hAnsi="仿宋" w:eastAsia="仿宋" w:cs="仿宋"/>
                <w:color w:val="000000"/>
                <w:szCs w:val="21"/>
                <w:lang w:val="en-US" w:eastAsia="zh-CN"/>
              </w:rPr>
              <w:t>停止提供网络交易平台服务，</w:t>
            </w:r>
            <w:r>
              <w:rPr>
                <w:rFonts w:hint="eastAsia" w:ascii="仿宋" w:hAnsi="仿宋" w:eastAsia="仿宋" w:cs="仿宋"/>
                <w:color w:val="000000"/>
                <w:szCs w:val="21"/>
                <w:lang w:val="en-US" w:eastAsia="zh-CN"/>
              </w:rPr>
              <w:t>未</w:t>
            </w:r>
            <w:r>
              <w:rPr>
                <w:rFonts w:hint="default" w:ascii="仿宋" w:hAnsi="仿宋" w:eastAsia="仿宋" w:cs="仿宋"/>
                <w:color w:val="000000"/>
                <w:szCs w:val="21"/>
                <w:lang w:val="en-US" w:eastAsia="zh-CN"/>
              </w:rPr>
              <w:t>停止展示药品相关信息</w:t>
            </w:r>
            <w:r>
              <w:rPr>
                <w:rFonts w:hint="eastAsia" w:ascii="仿宋" w:hAnsi="仿宋" w:eastAsia="仿宋" w:cs="仿宋"/>
                <w:color w:val="000000"/>
                <w:szCs w:val="21"/>
                <w:lang w:val="en-US" w:eastAsia="zh-CN"/>
              </w:rPr>
              <w:t>等义务的违法行为，违反《中华人民共和国药品管理法》第六十二条第三款、《药品网络销售监督管理办法》第二十三条第一款第二项的规定。</w:t>
            </w:r>
          </w:p>
          <w:p w14:paraId="128D2CA6">
            <w:pPr>
              <w:keepNext w:val="0"/>
              <w:keepLines w:val="0"/>
              <w:pageBreakBefore w:val="0"/>
              <w:widowControl w:val="0"/>
              <w:kinsoku/>
              <w:wordWrap/>
              <w:overflowPunct/>
              <w:topLinePunct w:val="0"/>
              <w:autoSpaceDE/>
              <w:autoSpaceDN/>
              <w:bidi w:val="0"/>
              <w:adjustRightInd/>
              <w:snapToGrid/>
              <w:spacing w:line="240" w:lineRule="exact"/>
              <w:ind w:left="168" w:leftChars="80" w:right="168" w:rightChars="80" w:firstLine="0" w:firstLineChars="0"/>
              <w:jc w:val="both"/>
              <w:textAlignment w:val="auto"/>
              <w:outlineLvl w:val="9"/>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依据《中华人民共和国药品管理法》第一百三十一条、</w:t>
            </w:r>
            <w:bookmarkStart w:id="0" w:name="_Hlk20173014"/>
            <w:r>
              <w:rPr>
                <w:rFonts w:hint="eastAsia" w:ascii="仿宋" w:hAnsi="仿宋" w:eastAsia="仿宋" w:cs="仿宋"/>
                <w:color w:val="000000"/>
                <w:szCs w:val="21"/>
                <w:lang w:val="en-US" w:eastAsia="zh-CN"/>
              </w:rPr>
              <w:t>《药品网络销售监督管理办法》</w:t>
            </w:r>
            <w:bookmarkEnd w:id="0"/>
            <w:r>
              <w:rPr>
                <w:rFonts w:hint="eastAsia" w:ascii="仿宋" w:hAnsi="仿宋" w:eastAsia="仿宋" w:cs="仿宋"/>
                <w:color w:val="000000"/>
                <w:szCs w:val="21"/>
                <w:lang w:val="en-US" w:eastAsia="zh-CN"/>
              </w:rPr>
              <w:t>第四十条的规定，现责令当事人改正上述违法行为，并决定处罚如下：</w:t>
            </w:r>
          </w:p>
          <w:p w14:paraId="40EC4DBB">
            <w:pPr>
              <w:keepNext w:val="0"/>
              <w:keepLines w:val="0"/>
              <w:pageBreakBefore w:val="0"/>
              <w:widowControl w:val="0"/>
              <w:kinsoku/>
              <w:wordWrap/>
              <w:overflowPunct/>
              <w:topLinePunct w:val="0"/>
              <w:autoSpaceDE/>
              <w:autoSpaceDN/>
              <w:bidi w:val="0"/>
              <w:adjustRightInd/>
              <w:snapToGrid/>
              <w:spacing w:line="240" w:lineRule="exact"/>
              <w:ind w:left="168" w:leftChars="80" w:right="168" w:rightChars="80" w:firstLine="0" w:firstLineChars="0"/>
              <w:jc w:val="both"/>
              <w:textAlignment w:val="auto"/>
              <w:outlineLvl w:val="9"/>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1.没收违法所得1449元（人民币壹仟肆佰肆拾玖元整）</w:t>
            </w:r>
          </w:p>
          <w:p w14:paraId="3008175A">
            <w:pPr>
              <w:keepNext w:val="0"/>
              <w:keepLines w:val="0"/>
              <w:pageBreakBefore w:val="0"/>
              <w:widowControl w:val="0"/>
              <w:kinsoku/>
              <w:wordWrap/>
              <w:overflowPunct/>
              <w:topLinePunct w:val="0"/>
              <w:autoSpaceDE/>
              <w:autoSpaceDN/>
              <w:bidi w:val="0"/>
              <w:adjustRightInd/>
              <w:snapToGrid/>
              <w:spacing w:line="240" w:lineRule="exact"/>
              <w:ind w:left="168" w:leftChars="80" w:right="168" w:rightChars="80" w:firstLine="0" w:firstLineChars="0"/>
              <w:jc w:val="both"/>
              <w:textAlignment w:val="auto"/>
              <w:outlineLvl w:val="9"/>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2.罚款200000元（人民币贰拾万元整）。</w:t>
            </w:r>
          </w:p>
          <w:p w14:paraId="389A807C">
            <w:pPr>
              <w:keepNext w:val="0"/>
              <w:keepLines w:val="0"/>
              <w:pageBreakBefore w:val="0"/>
              <w:widowControl w:val="0"/>
              <w:kinsoku/>
              <w:wordWrap/>
              <w:overflowPunct/>
              <w:topLinePunct w:val="0"/>
              <w:autoSpaceDE/>
              <w:autoSpaceDN/>
              <w:bidi w:val="0"/>
              <w:adjustRightInd/>
              <w:snapToGrid/>
              <w:spacing w:line="240" w:lineRule="exact"/>
              <w:ind w:left="168" w:leftChars="80" w:right="168" w:rightChars="80" w:firstLine="0" w:firstLineChars="0"/>
              <w:jc w:val="both"/>
              <w:textAlignment w:val="auto"/>
              <w:outlineLvl w:val="9"/>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以上罚没款合计201449元（人民币贰拾万壹仟肆佰肆拾玖元整）。</w:t>
            </w:r>
          </w:p>
          <w:p w14:paraId="6FA13EB4">
            <w:pPr>
              <w:keepNext w:val="0"/>
              <w:keepLines w:val="0"/>
              <w:pageBreakBefore w:val="0"/>
              <w:widowControl w:val="0"/>
              <w:kinsoku/>
              <w:wordWrap/>
              <w:overflowPunct/>
              <w:topLinePunct w:val="0"/>
              <w:autoSpaceDE/>
              <w:autoSpaceDN/>
              <w:bidi w:val="0"/>
              <w:adjustRightInd/>
              <w:snapToGrid/>
              <w:spacing w:line="240" w:lineRule="exact"/>
              <w:ind w:left="168" w:leftChars="80" w:right="168" w:rightChars="80" w:firstLine="0" w:firstLineChars="0"/>
              <w:jc w:val="both"/>
              <w:textAlignment w:val="auto"/>
              <w:outlineLvl w:val="9"/>
              <w:rPr>
                <w:rFonts w:hint="eastAsia" w:ascii="仿宋" w:hAnsi="仿宋" w:eastAsia="仿宋" w:cs="仿宋"/>
                <w:color w:val="000000"/>
                <w:szCs w:val="21"/>
                <w:lang w:val="en-US" w:eastAsia="zh-CN"/>
              </w:rPr>
            </w:pPr>
          </w:p>
          <w:p w14:paraId="303CA83D">
            <w:pPr>
              <w:keepNext w:val="0"/>
              <w:keepLines w:val="0"/>
              <w:pageBreakBefore w:val="0"/>
              <w:widowControl w:val="0"/>
              <w:kinsoku/>
              <w:wordWrap/>
              <w:overflowPunct/>
              <w:topLinePunct w:val="0"/>
              <w:autoSpaceDE/>
              <w:autoSpaceDN/>
              <w:bidi w:val="0"/>
              <w:adjustRightInd/>
              <w:snapToGrid/>
              <w:spacing w:line="240" w:lineRule="exact"/>
              <w:ind w:left="168" w:leftChars="80" w:right="168" w:rightChars="80" w:firstLine="0" w:firstLineChars="0"/>
              <w:jc w:val="both"/>
              <w:textAlignment w:val="auto"/>
              <w:outlineLvl w:val="9"/>
              <w:rPr>
                <w:rFonts w:hint="eastAsia" w:ascii="仿宋" w:hAnsi="仿宋" w:eastAsia="仿宋" w:cs="仿宋"/>
                <w:color w:val="000000"/>
                <w:szCs w:val="21"/>
                <w:lang w:val="en-US"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6750">
            <w:pPr>
              <w:keepNext w:val="0"/>
              <w:keepLines w:val="0"/>
              <w:pageBreakBefore w:val="0"/>
              <w:widowControl w:val="0"/>
              <w:kinsoku/>
              <w:wordWrap/>
              <w:overflowPunct/>
              <w:topLinePunct w:val="0"/>
              <w:autoSpaceDE/>
              <w:autoSpaceDN/>
              <w:bidi w:val="0"/>
              <w:adjustRightInd/>
              <w:snapToGrid/>
              <w:spacing w:line="240" w:lineRule="exact"/>
              <w:ind w:left="168" w:leftChars="80" w:right="168" w:rightChars="80" w:firstLine="0" w:firstLineChars="0"/>
              <w:jc w:val="both"/>
              <w:textAlignment w:val="auto"/>
              <w:outlineLvl w:val="9"/>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当事人应自接到本行政处罚决定之日起15日内缴纳上述</w:t>
            </w:r>
            <w:r>
              <w:rPr>
                <w:rFonts w:hint="eastAsia" w:ascii="仿宋" w:hAnsi="仿宋" w:eastAsia="仿宋" w:cs="仿宋"/>
                <w:color w:val="000000"/>
                <w:szCs w:val="21"/>
                <w:lang w:val="en-US" w:eastAsia="zh-CN"/>
              </w:rPr>
              <w:t>罚没款。当事人根据厦门药品稽查办公室开具的行政处罚缴款通知书，自行选择缴款方式。逾期不缴纳罚款的，依据《《中华人民共和国行政处罚法》第七十二条的规定，厦门药品稽查办公室将每日按罚款数额的百分之三加处罚款，并依法申请人民法院强制执行。</w:t>
            </w:r>
          </w:p>
          <w:p w14:paraId="54DD19A4">
            <w:pPr>
              <w:keepNext w:val="0"/>
              <w:keepLines/>
              <w:pageBreakBefore w:val="0"/>
              <w:widowControl/>
              <w:kinsoku/>
              <w:wordWrap/>
              <w:overflowPunct/>
              <w:topLinePunct w:val="0"/>
              <w:autoSpaceDE/>
              <w:autoSpaceDN/>
              <w:bidi w:val="0"/>
              <w:adjustRightInd/>
              <w:snapToGrid/>
              <w:spacing w:line="240" w:lineRule="exact"/>
              <w:ind w:right="0" w:rightChars="0" w:firstLine="210" w:firstLineChars="100"/>
              <w:jc w:val="both"/>
              <w:textAlignment w:val="center"/>
              <w:outlineLvl w:val="9"/>
              <w:rPr>
                <w:rFonts w:hint="eastAsia" w:ascii="仿宋_GB2312" w:hAnsi="仿宋_GB2312" w:eastAsia="仿宋_GB2312" w:cs="仿宋_GB2312"/>
                <w:bCs/>
                <w:kern w:val="0"/>
                <w:sz w:val="21"/>
                <w:szCs w:val="21"/>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FD3A">
            <w:pPr>
              <w:keepNext w:val="0"/>
              <w:keepLines/>
              <w:pageBreakBefore w:val="0"/>
              <w:widowControl/>
              <w:kinsoku/>
              <w:wordWrap/>
              <w:overflowPunct/>
              <w:topLinePunct w:val="0"/>
              <w:autoSpaceDE/>
              <w:autoSpaceDN/>
              <w:bidi w:val="0"/>
              <w:adjustRightInd/>
              <w:snapToGrid/>
              <w:spacing w:line="240" w:lineRule="exact"/>
              <w:ind w:right="0" w:rightChars="0"/>
              <w:jc w:val="both"/>
              <w:textAlignment w:val="center"/>
              <w:outlineLvl w:val="9"/>
              <w:rPr>
                <w:rFonts w:hint="eastAsia" w:ascii="仿宋_GB2312" w:hAnsi="仿宋_GB2312" w:eastAsia="仿宋_GB2312" w:cs="仿宋_GB2312"/>
                <w:bCs/>
                <w:kern w:val="0"/>
                <w:sz w:val="21"/>
                <w:szCs w:val="21"/>
                <w:lang w:val="en" w:eastAsia="zh-CN" w:bidi="ar"/>
              </w:rPr>
            </w:pPr>
            <w:r>
              <w:rPr>
                <w:rFonts w:hint="eastAsia" w:ascii="仿宋" w:hAnsi="仿宋" w:eastAsia="仿宋" w:cs="仿宋"/>
                <w:color w:val="000000"/>
                <w:szCs w:val="21"/>
                <w:lang w:val="en-US" w:eastAsia="zh-CN"/>
              </w:rPr>
              <w:t>福建省药品监督管理局厦门药品稽查办公室，2024年9月20日。</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A7F4">
            <w:pPr>
              <w:keepNext w:val="0"/>
              <w:keepLines/>
              <w:pageBreakBefore w:val="0"/>
              <w:widowControl/>
              <w:kinsoku/>
              <w:wordWrap/>
              <w:overflowPunct/>
              <w:topLinePunct w:val="0"/>
              <w:autoSpaceDE/>
              <w:autoSpaceDN/>
              <w:bidi w:val="0"/>
              <w:adjustRightInd/>
              <w:snapToGrid/>
              <w:spacing w:line="240" w:lineRule="exact"/>
              <w:ind w:right="0" w:rightChars="0"/>
              <w:jc w:val="both"/>
              <w:textAlignment w:val="center"/>
              <w:outlineLvl w:val="9"/>
              <w:rPr>
                <w:rFonts w:hint="eastAsia" w:ascii="仿宋_GB2312" w:hAnsi="仿宋_GB2312" w:eastAsia="仿宋_GB2312" w:cs="仿宋_GB2312"/>
                <w:bCs/>
                <w:kern w:val="0"/>
                <w:sz w:val="21"/>
                <w:szCs w:val="21"/>
                <w:lang w:val="en-US" w:eastAsia="zh-CN" w:bidi="ar"/>
              </w:rPr>
            </w:pPr>
          </w:p>
        </w:tc>
      </w:tr>
    </w:tbl>
    <w:p w14:paraId="2C29F30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4NWY4MzAyOWVlNDMyOGMzMTNkMWMzYzcyMjAxMzMifQ=="/>
  </w:docVars>
  <w:rsids>
    <w:rsidRoot w:val="0AFC60A5"/>
    <w:rsid w:val="00035119"/>
    <w:rsid w:val="00063781"/>
    <w:rsid w:val="000648AA"/>
    <w:rsid w:val="000871D5"/>
    <w:rsid w:val="00090672"/>
    <w:rsid w:val="000C202C"/>
    <w:rsid w:val="000D125C"/>
    <w:rsid w:val="00115D81"/>
    <w:rsid w:val="00133C4D"/>
    <w:rsid w:val="001C5893"/>
    <w:rsid w:val="00227898"/>
    <w:rsid w:val="00237D28"/>
    <w:rsid w:val="00253D4B"/>
    <w:rsid w:val="0027585F"/>
    <w:rsid w:val="002811F9"/>
    <w:rsid w:val="00334989"/>
    <w:rsid w:val="0040757F"/>
    <w:rsid w:val="00452025"/>
    <w:rsid w:val="00484E35"/>
    <w:rsid w:val="004A0493"/>
    <w:rsid w:val="004F3546"/>
    <w:rsid w:val="005318AB"/>
    <w:rsid w:val="00550C94"/>
    <w:rsid w:val="0055684F"/>
    <w:rsid w:val="005E6391"/>
    <w:rsid w:val="006137C6"/>
    <w:rsid w:val="00647264"/>
    <w:rsid w:val="006E677A"/>
    <w:rsid w:val="00755FBE"/>
    <w:rsid w:val="007E6247"/>
    <w:rsid w:val="007F130E"/>
    <w:rsid w:val="007F207E"/>
    <w:rsid w:val="00805F24"/>
    <w:rsid w:val="00855903"/>
    <w:rsid w:val="00906683"/>
    <w:rsid w:val="00986011"/>
    <w:rsid w:val="009C01EE"/>
    <w:rsid w:val="00A14FA2"/>
    <w:rsid w:val="00A5151E"/>
    <w:rsid w:val="00AE2572"/>
    <w:rsid w:val="00B022D6"/>
    <w:rsid w:val="00B724AE"/>
    <w:rsid w:val="00BA2D5B"/>
    <w:rsid w:val="00BD4998"/>
    <w:rsid w:val="00BE4DCC"/>
    <w:rsid w:val="00CB19CA"/>
    <w:rsid w:val="00CB475F"/>
    <w:rsid w:val="00CC1BFF"/>
    <w:rsid w:val="00CE5E5F"/>
    <w:rsid w:val="00D1632B"/>
    <w:rsid w:val="00D841F8"/>
    <w:rsid w:val="00DB14C3"/>
    <w:rsid w:val="00DB2E1E"/>
    <w:rsid w:val="00DD5582"/>
    <w:rsid w:val="00DE101A"/>
    <w:rsid w:val="00DE4A28"/>
    <w:rsid w:val="00E61CD8"/>
    <w:rsid w:val="00E832DD"/>
    <w:rsid w:val="00ED34C6"/>
    <w:rsid w:val="00F0481A"/>
    <w:rsid w:val="00F31373"/>
    <w:rsid w:val="00F73B05"/>
    <w:rsid w:val="00F7631A"/>
    <w:rsid w:val="00F921CA"/>
    <w:rsid w:val="00FC5841"/>
    <w:rsid w:val="00FF464F"/>
    <w:rsid w:val="05E927E7"/>
    <w:rsid w:val="06DF09E6"/>
    <w:rsid w:val="0A8263CF"/>
    <w:rsid w:val="0AF353F0"/>
    <w:rsid w:val="0AFC60A5"/>
    <w:rsid w:val="0C616F42"/>
    <w:rsid w:val="0D9D6771"/>
    <w:rsid w:val="1CC47C11"/>
    <w:rsid w:val="1DAF4892"/>
    <w:rsid w:val="2B8C72D3"/>
    <w:rsid w:val="2D467872"/>
    <w:rsid w:val="2E5B16E1"/>
    <w:rsid w:val="2EEB283A"/>
    <w:rsid w:val="2F383184"/>
    <w:rsid w:val="35E525D1"/>
    <w:rsid w:val="37FD7F8C"/>
    <w:rsid w:val="388E5FDA"/>
    <w:rsid w:val="3AF79314"/>
    <w:rsid w:val="3DE206BA"/>
    <w:rsid w:val="4344143E"/>
    <w:rsid w:val="4AEC1DD8"/>
    <w:rsid w:val="4B227261"/>
    <w:rsid w:val="511C6458"/>
    <w:rsid w:val="53CE2445"/>
    <w:rsid w:val="55455002"/>
    <w:rsid w:val="59E3453A"/>
    <w:rsid w:val="63EFA607"/>
    <w:rsid w:val="777E0EC0"/>
    <w:rsid w:val="7AC34CDF"/>
    <w:rsid w:val="D9BF0978"/>
    <w:rsid w:val="FDBE8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220"/>
    </w:pPr>
    <w:rPr>
      <w:rFonts w:ascii="宋体" w:hAnsi="宋体"/>
      <w:sz w:val="32"/>
      <w:szCs w:val="3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heme="minorHAnsi" w:hAnsiTheme="minorHAnsi" w:eastAsiaTheme="minorEastAsia"/>
      <w:kern w:val="2"/>
      <w:sz w:val="18"/>
      <w:szCs w:val="18"/>
    </w:rPr>
  </w:style>
  <w:style w:type="character" w:customStyle="1" w:styleId="8">
    <w:name w:val="页脚 字符"/>
    <w:basedOn w:val="6"/>
    <w:link w:val="3"/>
    <w:qFormat/>
    <w:uiPriority w:val="0"/>
    <w:rPr>
      <w:rFonts w:asciiTheme="minorHAnsi" w:hAnsiTheme="minorHAnsi" w:eastAsiaTheme="minorEastAsia"/>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1777</Words>
  <Characters>1880</Characters>
  <Lines>6</Lines>
  <Paragraphs>1</Paragraphs>
  <TotalTime>2</TotalTime>
  <ScaleCrop>false</ScaleCrop>
  <LinksUpToDate>false</LinksUpToDate>
  <CharactersWithSpaces>1882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2024-09-13T15:11:00Z</dcterms:created>
  <dc:creator>林振顺</dc:creator>
  <cp:lastModifiedBy>WPS_1336964195</cp:lastModifiedBy>
  <cp:lastPrinted>2024-09-02T19:50:00Z</cp:lastPrinted>
  <dcterms:modified xsi:type="dcterms:W3CDTF">2024-10-31T02:47:10Z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6DAAF781C2234710AFDF14651FA00923</vt:lpwstr>
  </property>
</Properties>
</file>