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bCs/>
          <w:color w:val="auto"/>
          <w:sz w:val="44"/>
          <w:szCs w:val="44"/>
          <w:lang w:eastAsia="zh-CN"/>
        </w:rPr>
        <w:t>福建省药品</w:t>
      </w:r>
      <w:r>
        <w:rPr>
          <w:rFonts w:hint="eastAsia" w:ascii="Times New Roman" w:hAnsi="Times New Roman" w:eastAsia="方正小标宋简体" w:cs="方正小标宋简体"/>
          <w:bCs/>
          <w:color w:val="auto"/>
          <w:sz w:val="44"/>
          <w:szCs w:val="44"/>
        </w:rPr>
        <w:t>监督管理局</w:t>
      </w:r>
      <w:r>
        <w:rPr>
          <w:rFonts w:hint="eastAsia" w:ascii="Times New Roman" w:hAnsi="Times New Roman" w:eastAsia="方正小标宋简体" w:cs="方正小标宋简体"/>
          <w:bCs/>
          <w:color w:val="auto"/>
          <w:sz w:val="44"/>
          <w:szCs w:val="44"/>
          <w:lang w:eastAsia="zh-CN"/>
        </w:rPr>
        <w:t>厦门药品稽查办公室</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jc w:val="center"/>
        <w:textAlignment w:val="auto"/>
        <w:rPr>
          <w:rFonts w:hint="eastAsia"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行政处罚决定书</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jc w:val="center"/>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闽药监厦稽办处罚〔2024〕012号</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jc w:val="center"/>
        <w:textAlignment w:val="auto"/>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当事人：全药通（厦门）科技发展有限公司</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主体资格证照名称：营业执照</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统一社会信用代码：</w:t>
      </w:r>
      <w:r>
        <w:rPr>
          <w:rFonts w:hint="eastAsia" w:ascii="CESI仿宋-GB2312" w:hAnsi="CESI仿宋-GB2312" w:eastAsia="CESI仿宋-GB2312" w:cs="CESI仿宋-GB2312"/>
          <w:color w:val="auto"/>
          <w:sz w:val="32"/>
          <w:szCs w:val="32"/>
          <w:u w:val="none"/>
          <w:lang w:val="en-US" w:eastAsia="zh-CN"/>
        </w:rPr>
        <w:t>91350200058378276F</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住所：</w:t>
      </w:r>
      <w:r>
        <w:rPr>
          <w:rFonts w:hint="eastAsia" w:ascii="CESI仿宋-GB2312" w:hAnsi="CESI仿宋-GB2312" w:eastAsia="CESI仿宋-GB2312" w:cs="CESI仿宋-GB2312"/>
          <w:color w:val="auto"/>
          <w:sz w:val="32"/>
          <w:szCs w:val="32"/>
          <w:u w:val="none"/>
          <w:lang w:val="en-US" w:eastAsia="zh-CN"/>
        </w:rPr>
        <w:t>厦门市软件园二期望海路23号604室C单元</w:t>
      </w:r>
      <w:r>
        <w:rPr>
          <w:rFonts w:hint="eastAsia" w:ascii="仿宋_GB2312" w:hAnsi="仿宋_GB2312" w:eastAsia="仿宋_GB2312" w:cs="仿宋_GB2312"/>
          <w:b w:val="0"/>
          <w:bCs w:val="0"/>
          <w:color w:val="auto"/>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outlineLvl w:val="9"/>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法定代表人：</w:t>
      </w:r>
      <w:r>
        <w:rPr>
          <w:rFonts w:hint="eastAsia" w:ascii="Times New Roman" w:hAnsi="Times New Roman" w:eastAsia="仿宋_GB2312" w:cs="Times New Roman"/>
          <w:color w:val="auto"/>
          <w:sz w:val="32"/>
          <w:szCs w:val="32"/>
          <w:u w:val="none"/>
          <w:lang w:val="en-US" w:eastAsia="zh-CN"/>
        </w:rPr>
        <w:t xml:space="preserve">杨** </w:t>
      </w:r>
      <w:r>
        <w:rPr>
          <w:rFonts w:hint="eastAsia" w:ascii="仿宋_GB2312" w:hAnsi="仿宋_GB2312" w:eastAsia="仿宋_GB2312" w:cs="仿宋_GB2312"/>
          <w:b w:val="0"/>
          <w:bCs w:val="0"/>
          <w:color w:val="auto"/>
          <w:sz w:val="32"/>
          <w:szCs w:val="32"/>
          <w:u w:val="none"/>
          <w:lang w:val="en-US" w:eastAsia="zh-CN" w:bidi="ar-SA"/>
        </w:rPr>
        <w:t xml:space="preserve"> </w:t>
      </w:r>
    </w:p>
    <w:p>
      <w:pPr>
        <w:pStyle w:val="2"/>
        <w:keepNext w:val="0"/>
        <w:keepLines w:val="0"/>
        <w:pageBreakBefore w:val="0"/>
        <w:widowControl w:val="0"/>
        <w:tabs>
          <w:tab w:val="left" w:pos="8964"/>
        </w:tabs>
        <w:kinsoku/>
        <w:wordWrap/>
        <w:overflowPunct/>
        <w:topLinePunct w:val="0"/>
        <w:autoSpaceDE/>
        <w:autoSpaceDN/>
        <w:bidi w:val="0"/>
        <w:adjustRightInd/>
        <w:snapToGrid/>
        <w:spacing w:line="560" w:lineRule="exact"/>
        <w:ind w:left="0" w:firstLine="662" w:firstLineChars="200"/>
        <w:textAlignment w:val="auto"/>
        <w:rPr>
          <w:rFonts w:hint="eastAsia" w:ascii="仿宋_GB2312" w:hAnsi="仿宋_GB2312" w:eastAsia="仿宋_GB2312" w:cs="仿宋_GB2312"/>
          <w:b w:val="0"/>
          <w:bCs w:val="0"/>
          <w:sz w:val="32"/>
          <w:szCs w:val="32"/>
          <w:u w:val="none"/>
          <w:lang w:val="en-US" w:eastAsia="zh-CN" w:bidi="ar-SA"/>
        </w:rPr>
      </w:pPr>
      <w:bookmarkStart w:id="0" w:name="_Hlk18881741"/>
    </w:p>
    <w:p>
      <w:pPr>
        <w:pStyle w:val="2"/>
        <w:keepNext w:val="0"/>
        <w:keepLines w:val="0"/>
        <w:pageBreakBefore w:val="0"/>
        <w:widowControl w:val="0"/>
        <w:tabs>
          <w:tab w:val="left" w:pos="8964"/>
        </w:tabs>
        <w:kinsoku/>
        <w:wordWrap/>
        <w:overflowPunct/>
        <w:topLinePunct w:val="0"/>
        <w:autoSpaceDE/>
        <w:autoSpaceDN/>
        <w:bidi w:val="0"/>
        <w:adjustRightInd/>
        <w:snapToGrid/>
        <w:spacing w:line="560" w:lineRule="exact"/>
        <w:ind w:left="0" w:firstLine="662" w:firstLineChars="200"/>
        <w:textAlignment w:val="auto"/>
        <w:rPr>
          <w:rFonts w:hint="eastAsia" w:ascii="仿宋_GB2312" w:hAnsi="仿宋_GB2312" w:eastAsia="仿宋_GB2312" w:cs="仿宋_GB2312"/>
          <w:b/>
          <w:color w:val="231F20"/>
          <w:u w:val="none" w:color="auto"/>
          <w:lang w:val="en-US" w:eastAsia="zh-CN"/>
        </w:rPr>
      </w:pPr>
      <w:r>
        <w:rPr>
          <w:rFonts w:hint="eastAsia" w:ascii="仿宋_GB2312" w:hAnsi="仿宋_GB2312" w:eastAsia="仿宋_GB2312" w:cs="仿宋_GB2312"/>
          <w:b w:val="0"/>
          <w:bCs w:val="0"/>
          <w:sz w:val="32"/>
          <w:szCs w:val="32"/>
          <w:u w:val="none"/>
          <w:lang w:val="en-US" w:eastAsia="zh-CN" w:bidi="ar-SA"/>
        </w:rPr>
        <w:t>2024年6月3日，本办收到四川省药品监督管理局转来的《关于移送药品网络交易第三方平台“全药通”相关线索的函》（川药监稽函﹝2024﹞1031号），文中通报了当事人运营的药品网络交易第三方平台全药通（以下简称“全药通”）涉嫌展示国家实行特殊管理的药品右美沙芬单方制剂的案源线索。2024年6月19日，本办</w:t>
      </w:r>
      <w:r>
        <w:rPr>
          <w:rFonts w:hint="default" w:ascii="仿宋_GB2312" w:hAnsi="仿宋_GB2312" w:eastAsia="仿宋_GB2312" w:cs="仿宋_GB2312"/>
          <w:b w:val="0"/>
          <w:bCs w:val="0"/>
          <w:sz w:val="32"/>
          <w:szCs w:val="32"/>
          <w:u w:val="none"/>
          <w:lang w:val="en-US" w:eastAsia="zh-CN" w:bidi="ar-SA"/>
        </w:rPr>
        <w:t>对当事人</w:t>
      </w:r>
      <w:r>
        <w:rPr>
          <w:rFonts w:hint="eastAsia" w:ascii="仿宋_GB2312" w:hAnsi="仿宋_GB2312" w:eastAsia="仿宋_GB2312" w:cs="仿宋_GB2312"/>
          <w:b w:val="0"/>
          <w:bCs w:val="0"/>
          <w:sz w:val="32"/>
          <w:szCs w:val="32"/>
          <w:u w:val="none"/>
          <w:lang w:val="en-US" w:eastAsia="zh-CN" w:bidi="ar-SA"/>
        </w:rPr>
        <w:t>注册地址进行检查，执法人员现场查验了当事人营业执照、互联网药品信息服务资格证书、药品网络交易第三方平台备案信息，提取了全药通系统管理后台导出的右美沙芬单方制剂销售订单详情截图等相关材料。</w:t>
      </w:r>
      <w:r>
        <w:rPr>
          <w:rFonts w:hint="eastAsia" w:ascii="仿宋_GB2312" w:hAnsi="仿宋_GB2312" w:eastAsia="仿宋_GB2312" w:cs="仿宋_GB2312"/>
          <w:b w:val="0"/>
          <w:bCs w:val="0"/>
          <w:color w:val="auto"/>
          <w:sz w:val="32"/>
          <w:szCs w:val="32"/>
          <w:u w:val="none"/>
          <w:lang w:val="en-US" w:eastAsia="zh-CN" w:bidi="ar-SA"/>
        </w:rPr>
        <w:t>执法人员现场未采取行政强制措施。2024年</w:t>
      </w:r>
      <w:r>
        <w:rPr>
          <w:rFonts w:hint="eastAsia" w:ascii="仿宋_GB2312" w:hAnsi="仿宋_GB2312" w:eastAsia="仿宋_GB2312" w:cs="仿宋_GB2312"/>
          <w:b w:val="0"/>
          <w:bCs w:val="0"/>
          <w:sz w:val="32"/>
          <w:szCs w:val="32"/>
          <w:u w:val="none"/>
          <w:lang w:val="en-US" w:eastAsia="zh-CN" w:bidi="ar-SA"/>
        </w:rPr>
        <w:t>6月24日，本办对全药通涉嫌展示国家实行特殊管理的药品右美沙芬单方制剂的行为进行立案调查。2024年7月23日和2024年8月27日，本办对当事人相关人员进行询问调查。</w:t>
      </w:r>
      <w:bookmarkEnd w:id="0"/>
      <w:r>
        <w:rPr>
          <w:rFonts w:hint="eastAsia" w:ascii="仿宋_GB2312" w:hAnsi="仿宋_GB2312" w:eastAsia="仿宋_GB2312" w:cs="仿宋_GB2312"/>
          <w:b w:val="0"/>
          <w:bCs w:val="0"/>
          <w:sz w:val="32"/>
          <w:szCs w:val="32"/>
          <w:u w:val="none"/>
          <w:lang w:val="en-US" w:eastAsia="zh-CN" w:bidi="ar-SA"/>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662" w:firstLineChars="200"/>
        <w:jc w:val="both"/>
        <w:textAlignment w:val="auto"/>
        <w:rPr>
          <w:rFonts w:hint="eastAsia" w:ascii="仿宋_GB2312" w:hAnsi="仿宋_GB2312" w:eastAsia="仿宋_GB2312" w:cs="仿宋_GB2312"/>
          <w:b w:val="0"/>
          <w:bCs w:val="0"/>
          <w:sz w:val="32"/>
          <w:szCs w:val="32"/>
          <w:u w:val="none"/>
          <w:lang w:val="en-US" w:eastAsia="zh-CN" w:bidi="ar-SA"/>
        </w:rPr>
      </w:pPr>
      <w:r>
        <w:rPr>
          <w:rFonts w:hint="eastAsia" w:ascii="仿宋_GB2312" w:hAnsi="仿宋_GB2312" w:eastAsia="仿宋_GB2312" w:cs="仿宋_GB2312"/>
          <w:b w:val="0"/>
          <w:bCs w:val="0"/>
          <w:sz w:val="32"/>
          <w:szCs w:val="32"/>
          <w:u w:val="none"/>
          <w:lang w:val="en-US" w:eastAsia="zh-CN" w:bidi="ar-SA"/>
        </w:rPr>
        <w:t>经查，</w:t>
      </w:r>
      <w:r>
        <w:rPr>
          <w:rFonts w:hint="eastAsia" w:ascii="仿宋_GB2312" w:hAnsi="仿宋_GB2312" w:eastAsia="仿宋_GB2312" w:cs="仿宋_GB2312"/>
          <w:b w:val="0"/>
          <w:bCs w:val="0"/>
          <w:color w:val="auto"/>
          <w:sz w:val="32"/>
          <w:szCs w:val="32"/>
          <w:u w:val="none"/>
          <w:lang w:val="en-US" w:eastAsia="zh-CN" w:bidi="ar-SA"/>
        </w:rPr>
        <w:t>2023年2月13日至2024年5月8日，</w:t>
      </w:r>
      <w:r>
        <w:rPr>
          <w:rFonts w:hint="eastAsia" w:ascii="仿宋_GB2312" w:hAnsi="仿宋_GB2312" w:eastAsia="仿宋_GB2312" w:cs="仿宋_GB2312"/>
          <w:b w:val="0"/>
          <w:bCs w:val="0"/>
          <w:sz w:val="32"/>
          <w:szCs w:val="32"/>
          <w:u w:val="none"/>
          <w:lang w:val="en-US" w:eastAsia="zh-CN" w:bidi="ar-SA"/>
        </w:rPr>
        <w:t>4家</w:t>
      </w:r>
      <w:r>
        <w:rPr>
          <w:rFonts w:hint="eastAsia" w:ascii="仿宋_GB2312" w:hAnsi="仿宋_GB2312" w:eastAsia="仿宋_GB2312" w:cs="仿宋_GB2312"/>
          <w:b w:val="0"/>
          <w:bCs w:val="0"/>
          <w:color w:val="auto"/>
          <w:sz w:val="32"/>
          <w:szCs w:val="32"/>
          <w:u w:val="none"/>
          <w:lang w:val="en-US" w:eastAsia="zh-CN" w:bidi="ar-SA"/>
        </w:rPr>
        <w:t>药品网络销售</w:t>
      </w:r>
      <w:r>
        <w:rPr>
          <w:rFonts w:hint="eastAsia" w:ascii="仿宋_GB2312" w:hAnsi="仿宋_GB2312" w:eastAsia="仿宋_GB2312" w:cs="仿宋_GB2312"/>
          <w:b w:val="0"/>
          <w:bCs w:val="0"/>
          <w:sz w:val="32"/>
          <w:szCs w:val="32"/>
          <w:u w:val="none"/>
          <w:lang w:val="en-US" w:eastAsia="zh-CN" w:bidi="ar-SA"/>
        </w:rPr>
        <w:t>企业在全药通展示并销售右美沙芬单方制剂，当事人与上述</w:t>
      </w:r>
      <w:r>
        <w:rPr>
          <w:rFonts w:hint="eastAsia" w:ascii="仿宋_GB2312" w:hAnsi="仿宋_GB2312" w:eastAsia="仿宋_GB2312" w:cs="仿宋_GB2312"/>
          <w:b w:val="0"/>
          <w:bCs w:val="0"/>
          <w:color w:val="auto"/>
          <w:sz w:val="32"/>
          <w:szCs w:val="32"/>
          <w:u w:val="none"/>
          <w:lang w:val="en-US" w:eastAsia="zh-CN" w:bidi="ar-SA"/>
        </w:rPr>
        <w:t>4家企业</w:t>
      </w:r>
      <w:r>
        <w:rPr>
          <w:rFonts w:hint="eastAsia" w:ascii="仿宋_GB2312" w:hAnsi="仿宋_GB2312" w:eastAsia="仿宋_GB2312" w:cs="仿宋_GB2312"/>
          <w:b w:val="0"/>
          <w:bCs w:val="0"/>
          <w:sz w:val="32"/>
          <w:szCs w:val="32"/>
          <w:u w:val="none"/>
          <w:lang w:val="en-US" w:eastAsia="zh-CN" w:bidi="ar-SA"/>
        </w:rPr>
        <w:t>签订《全药通平台卖家合作服务合同》，为其提供网络交易平台服务，展示其销售的药品相关信息，收取网络推广技术服务费1449元。</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62" w:firstLineChars="200"/>
        <w:jc w:val="left"/>
        <w:textAlignment w:val="auto"/>
        <w:rPr>
          <w:rFonts w:hint="eastAsia" w:ascii="仿宋_GB2312" w:hAnsi="仿宋_GB2312" w:eastAsia="仿宋_GB2312" w:cs="仿宋_GB2312"/>
          <w:b/>
          <w:bCs/>
          <w:sz w:val="32"/>
          <w:szCs w:val="32"/>
          <w:u w:val="none"/>
          <w:lang w:val="en-US" w:eastAsia="zh-CN" w:bidi="ar-SA"/>
        </w:rPr>
      </w:pPr>
      <w:r>
        <w:rPr>
          <w:rFonts w:hint="eastAsia" w:ascii="仿宋_GB2312" w:hAnsi="仿宋_GB2312" w:eastAsia="仿宋_GB2312" w:cs="仿宋_GB2312"/>
          <w:b/>
          <w:bCs/>
          <w:sz w:val="32"/>
          <w:szCs w:val="32"/>
          <w:u w:val="none"/>
          <w:lang w:val="en-US" w:eastAsia="zh-CN" w:bidi="ar-SA"/>
        </w:rPr>
        <w:t>上述事实，主要有</w:t>
      </w:r>
      <w:r>
        <w:rPr>
          <w:rFonts w:hint="eastAsia" w:ascii="仿宋_GB2312" w:hAnsi="仿宋_GB2312" w:eastAsia="仿宋_GB2312" w:cs="仿宋_GB2312"/>
          <w:b w:val="0"/>
          <w:bCs w:val="0"/>
          <w:color w:val="auto"/>
          <w:sz w:val="32"/>
          <w:szCs w:val="32"/>
          <w:u w:val="none"/>
          <w:lang w:val="en-US" w:eastAsia="zh-CN" w:bidi="ar-SA"/>
        </w:rPr>
        <w:t>现场检查笔录、对法定代表人提取的2份询问调查笔录、当事人的《营业执照》《药品网络交易第三方平台备案信息》《互联网药品信息服务资格证书》、法定代表人身份证复印件、当事人提供的《情况说明》、《全药通平台卖家合作服务合同》、</w:t>
      </w:r>
      <w:r>
        <w:rPr>
          <w:rFonts w:hint="eastAsia" w:ascii="仿宋_GB2312" w:hAnsi="仿宋_GB2312" w:eastAsia="仿宋_GB2312" w:cs="仿宋_GB2312"/>
          <w:b w:val="0"/>
          <w:bCs w:val="0"/>
          <w:sz w:val="32"/>
          <w:szCs w:val="32"/>
          <w:u w:val="none"/>
          <w:lang w:val="en-US" w:eastAsia="zh-CN" w:bidi="ar-SA"/>
        </w:rPr>
        <w:t>全药通系统管理后台导出的</w:t>
      </w:r>
      <w:r>
        <w:rPr>
          <w:rFonts w:hint="eastAsia" w:ascii="仿宋_GB2312" w:hAnsi="仿宋_GB2312" w:eastAsia="仿宋_GB2312" w:cs="仿宋_GB2312"/>
          <w:b w:val="0"/>
          <w:bCs w:val="0"/>
          <w:color w:val="auto"/>
          <w:sz w:val="32"/>
          <w:szCs w:val="32"/>
          <w:u w:val="none"/>
          <w:lang w:val="en-US" w:eastAsia="zh-CN" w:bidi="ar-SA"/>
        </w:rPr>
        <w:t>右美沙芬单方制剂销售订单详情截图、四川省药品监督管理局《关于移送药品网络交易第三方平台“全药通”相关线索的函》</w:t>
      </w:r>
      <w:bookmarkStart w:id="2" w:name="_GoBack"/>
      <w:bookmarkEnd w:id="2"/>
      <w:r>
        <w:rPr>
          <w:rFonts w:hint="eastAsia" w:ascii="仿宋_GB2312" w:hAnsi="仿宋_GB2312" w:eastAsia="仿宋_GB2312" w:cs="仿宋_GB2312"/>
          <w:b w:val="0"/>
          <w:bCs w:val="0"/>
          <w:sz w:val="32"/>
          <w:szCs w:val="32"/>
          <w:u w:val="none"/>
          <w:lang w:val="en-US" w:eastAsia="zh-CN" w:bidi="ar-SA"/>
        </w:rPr>
        <w:t>《</w:t>
      </w:r>
      <w:r>
        <w:rPr>
          <w:rFonts w:hint="default" w:ascii="仿宋_GB2312" w:hAnsi="仿宋_GB2312" w:eastAsia="仿宋_GB2312" w:cs="仿宋_GB2312"/>
          <w:b w:val="0"/>
          <w:bCs w:val="0"/>
          <w:color w:val="auto"/>
          <w:sz w:val="32"/>
          <w:szCs w:val="32"/>
          <w:u w:val="none"/>
          <w:lang w:val="en-US" w:eastAsia="zh-CN" w:bidi="ar-SA"/>
        </w:rPr>
        <w:t>国家药监局综合司 公安部办公厅 国家邮政局办公室关于进一步加强复方地芬诺酯片等药品管理的通知</w:t>
      </w:r>
      <w:r>
        <w:rPr>
          <w:rFonts w:hint="eastAsia" w:ascii="仿宋_GB2312" w:hAnsi="仿宋_GB2312" w:eastAsia="仿宋_GB2312" w:cs="仿宋_GB2312"/>
          <w:b w:val="0"/>
          <w:bCs w:val="0"/>
          <w:sz w:val="32"/>
          <w:szCs w:val="32"/>
          <w:u w:val="none"/>
          <w:lang w:val="en-US" w:eastAsia="zh-CN" w:bidi="ar-SA"/>
        </w:rPr>
        <w:t>》等</w:t>
      </w:r>
      <w:r>
        <w:rPr>
          <w:rFonts w:hint="eastAsia" w:ascii="仿宋_GB2312" w:hAnsi="仿宋_GB2312" w:eastAsia="仿宋_GB2312" w:cs="仿宋_GB2312"/>
          <w:b/>
          <w:bCs/>
          <w:sz w:val="32"/>
          <w:szCs w:val="32"/>
          <w:u w:val="none"/>
          <w:lang w:val="en-US" w:eastAsia="zh-CN" w:bidi="ar-SA"/>
        </w:rPr>
        <w:t>证据证明。</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62" w:firstLineChars="200"/>
        <w:jc w:val="left"/>
        <w:textAlignment w:val="auto"/>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2024年9月11日，我办执法人员将行政处罚告知书（闽药监厦稽办罚告〔2024〕011号）直接送达当事人，当事人在行政处罚告知书送达之日起五个工作日内未提出陈述、申辩意见，未要求听证。</w:t>
      </w:r>
    </w:p>
    <w:p>
      <w:pPr>
        <w:pStyle w:val="2"/>
        <w:keepNext w:val="0"/>
        <w:keepLines w:val="0"/>
        <w:pageBreakBefore w:val="0"/>
        <w:widowControl w:val="0"/>
        <w:tabs>
          <w:tab w:val="left" w:pos="8920"/>
        </w:tabs>
        <w:kinsoku/>
        <w:wordWrap/>
        <w:overflowPunct/>
        <w:topLinePunct w:val="0"/>
        <w:autoSpaceDE/>
        <w:autoSpaceDN/>
        <w:bidi w:val="0"/>
        <w:adjustRightInd/>
        <w:snapToGrid/>
        <w:spacing w:line="560" w:lineRule="exact"/>
        <w:ind w:left="0" w:leftChars="0" w:right="0" w:rightChars="0" w:firstLine="662" w:firstLineChars="200"/>
        <w:jc w:val="left"/>
        <w:textAlignment w:val="auto"/>
        <w:outlineLvl w:val="9"/>
        <w:rPr>
          <w:rFonts w:hint="eastAsia" w:ascii="仿宋_GB2312" w:hAnsi="仿宋_GB2312" w:eastAsia="仿宋_GB2312" w:cs="仿宋_GB2312"/>
          <w:b w:val="0"/>
          <w:bCs w:val="0"/>
          <w:sz w:val="32"/>
          <w:szCs w:val="32"/>
          <w:u w:val="none"/>
          <w:lang w:val="en-US" w:eastAsia="zh-CN" w:bidi="ar-SA"/>
        </w:rPr>
      </w:pPr>
      <w:r>
        <w:rPr>
          <w:rFonts w:hint="eastAsia" w:ascii="仿宋_GB2312" w:hAnsi="仿宋_GB2312" w:eastAsia="仿宋_GB2312" w:cs="仿宋_GB2312"/>
          <w:b w:val="0"/>
          <w:bCs w:val="0"/>
          <w:sz w:val="32"/>
          <w:szCs w:val="32"/>
          <w:u w:val="none"/>
          <w:lang w:val="en-US" w:eastAsia="zh-CN" w:bidi="ar-SA"/>
        </w:rPr>
        <w:t>根据</w:t>
      </w:r>
      <w:r>
        <w:rPr>
          <w:rFonts w:hint="eastAsia" w:ascii="仿宋_GB2312" w:hAnsi="仿宋_GB2312" w:eastAsia="仿宋_GB2312" w:cs="仿宋_GB2312"/>
          <w:b w:val="0"/>
          <w:bCs w:val="0"/>
          <w:color w:val="auto"/>
          <w:sz w:val="32"/>
          <w:szCs w:val="32"/>
          <w:u w:val="none"/>
          <w:lang w:val="en-US" w:eastAsia="zh-CN" w:bidi="ar-SA"/>
        </w:rPr>
        <w:t>《药品网络销售监督管理办法》（自2022年12月1日起施行）第八条第二款、《</w:t>
      </w:r>
      <w:r>
        <w:rPr>
          <w:rFonts w:hint="default" w:ascii="仿宋_GB2312" w:hAnsi="仿宋_GB2312" w:eastAsia="仿宋_GB2312" w:cs="仿宋_GB2312"/>
          <w:b w:val="0"/>
          <w:bCs w:val="0"/>
          <w:color w:val="auto"/>
          <w:sz w:val="32"/>
          <w:szCs w:val="32"/>
          <w:u w:val="none"/>
          <w:lang w:val="en-US" w:eastAsia="zh-CN" w:bidi="ar-SA"/>
        </w:rPr>
        <w:t>国家药监局综合司 公安部办公厅 国家邮政局办公室关于进一步加强复方地芬诺酯片等药品管理的通知</w:t>
      </w:r>
      <w:r>
        <w:rPr>
          <w:rFonts w:hint="eastAsia" w:ascii="仿宋_GB2312" w:hAnsi="仿宋_GB2312" w:eastAsia="仿宋_GB2312" w:cs="仿宋_GB2312"/>
          <w:b w:val="0"/>
          <w:bCs w:val="0"/>
          <w:color w:val="auto"/>
          <w:sz w:val="32"/>
          <w:szCs w:val="32"/>
          <w:u w:val="none"/>
          <w:lang w:val="en-US" w:eastAsia="zh-CN" w:bidi="ar-SA"/>
        </w:rPr>
        <w:t>》(</w:t>
      </w:r>
      <w:r>
        <w:rPr>
          <w:rFonts w:hint="default" w:ascii="仿宋_GB2312" w:hAnsi="仿宋_GB2312" w:eastAsia="仿宋_GB2312" w:cs="仿宋_GB2312"/>
          <w:b w:val="0"/>
          <w:bCs w:val="0"/>
          <w:color w:val="auto"/>
          <w:sz w:val="32"/>
          <w:szCs w:val="32"/>
          <w:u w:val="none"/>
          <w:lang w:val="en-US" w:eastAsia="zh-CN" w:bidi="ar-SA"/>
        </w:rPr>
        <w:t>药监综药管〔2023〕13号</w:t>
      </w:r>
      <w:r>
        <w:rPr>
          <w:rFonts w:hint="eastAsia" w:ascii="仿宋_GB2312" w:hAnsi="仿宋_GB2312" w:eastAsia="仿宋_GB2312" w:cs="仿宋_GB2312"/>
          <w:b w:val="0"/>
          <w:bCs w:val="0"/>
          <w:color w:val="auto"/>
          <w:sz w:val="32"/>
          <w:szCs w:val="32"/>
          <w:u w:val="none"/>
          <w:lang w:val="en-US" w:eastAsia="zh-CN" w:bidi="ar-SA"/>
        </w:rPr>
        <w:t>，国家药品监督管理局官网于2023年2月13日发布)第三点规定，2023年2月13日起，</w:t>
      </w:r>
      <w:r>
        <w:rPr>
          <w:rFonts w:hint="eastAsia" w:ascii="仿宋_GB2312" w:hAnsi="仿宋_GB2312" w:eastAsia="仿宋_GB2312" w:cs="仿宋_GB2312"/>
          <w:b w:val="0"/>
          <w:bCs w:val="0"/>
          <w:sz w:val="32"/>
          <w:szCs w:val="32"/>
          <w:u w:val="none"/>
          <w:lang w:val="en-US" w:eastAsia="zh-CN" w:bidi="ar-SA"/>
        </w:rPr>
        <w:t>右美沙芬单方制剂不得在网络上销售。当事人发现</w:t>
      </w:r>
      <w:r>
        <w:rPr>
          <w:rFonts w:hint="eastAsia" w:ascii="仿宋_GB2312" w:hAnsi="仿宋_GB2312" w:eastAsia="仿宋_GB2312" w:cs="仿宋_GB2312"/>
          <w:b w:val="0"/>
          <w:bCs w:val="0"/>
          <w:color w:val="auto"/>
          <w:sz w:val="32"/>
          <w:szCs w:val="32"/>
          <w:u w:val="none"/>
          <w:lang w:val="en-US" w:eastAsia="zh-CN" w:bidi="ar-SA"/>
        </w:rPr>
        <w:t>4家药品网络销售企业</w:t>
      </w:r>
      <w:r>
        <w:rPr>
          <w:rFonts w:hint="eastAsia" w:ascii="仿宋_GB2312" w:hAnsi="仿宋_GB2312" w:eastAsia="仿宋_GB2312" w:cs="仿宋_GB2312"/>
          <w:b w:val="0"/>
          <w:bCs w:val="0"/>
          <w:sz w:val="32"/>
          <w:szCs w:val="32"/>
          <w:u w:val="none"/>
          <w:lang w:val="en-US" w:eastAsia="zh-CN" w:bidi="ar-SA"/>
        </w:rPr>
        <w:t>在全药通销售右美沙芬单方制剂，但未及时</w:t>
      </w:r>
      <w:r>
        <w:rPr>
          <w:rFonts w:hint="default" w:ascii="仿宋_GB2312" w:hAnsi="仿宋_GB2312" w:eastAsia="仿宋_GB2312" w:cs="仿宋_GB2312"/>
          <w:b w:val="0"/>
          <w:bCs w:val="0"/>
          <w:sz w:val="32"/>
          <w:szCs w:val="32"/>
          <w:u w:val="none"/>
          <w:lang w:val="en-US" w:eastAsia="zh-CN" w:bidi="ar-SA"/>
        </w:rPr>
        <w:t>停止提供网络交易平台服务，</w:t>
      </w:r>
      <w:r>
        <w:rPr>
          <w:rFonts w:hint="eastAsia" w:ascii="仿宋_GB2312" w:hAnsi="仿宋_GB2312" w:eastAsia="仿宋_GB2312" w:cs="仿宋_GB2312"/>
          <w:b w:val="0"/>
          <w:bCs w:val="0"/>
          <w:sz w:val="32"/>
          <w:szCs w:val="32"/>
          <w:u w:val="none"/>
          <w:lang w:val="en-US" w:eastAsia="zh-CN" w:bidi="ar-SA"/>
        </w:rPr>
        <w:t>未</w:t>
      </w:r>
      <w:r>
        <w:rPr>
          <w:rFonts w:hint="default" w:ascii="仿宋_GB2312" w:hAnsi="仿宋_GB2312" w:eastAsia="仿宋_GB2312" w:cs="仿宋_GB2312"/>
          <w:b w:val="0"/>
          <w:bCs w:val="0"/>
          <w:sz w:val="32"/>
          <w:szCs w:val="32"/>
          <w:u w:val="none"/>
          <w:lang w:val="en-US" w:eastAsia="zh-CN" w:bidi="ar-SA"/>
        </w:rPr>
        <w:t>停止展示药品相关信息</w:t>
      </w:r>
      <w:r>
        <w:rPr>
          <w:rFonts w:hint="eastAsia" w:ascii="仿宋_GB2312" w:hAnsi="仿宋_GB2312" w:eastAsia="仿宋_GB2312" w:cs="仿宋_GB2312"/>
          <w:b w:val="0"/>
          <w:bCs w:val="0"/>
          <w:sz w:val="32"/>
          <w:szCs w:val="32"/>
          <w:u w:val="none"/>
          <w:lang w:val="en-US" w:eastAsia="zh-CN" w:bidi="ar-SA"/>
        </w:rPr>
        <w:t>等义务的违法行为，违反《中华人民共和国药品管理法》第六十二条第三款、《药品网络销售监督管理办法》第二十三条第一款第二项的规定。</w:t>
      </w:r>
    </w:p>
    <w:p>
      <w:pPr>
        <w:keepNext w:val="0"/>
        <w:keepLines w:val="0"/>
        <w:pageBreakBefore w:val="0"/>
        <w:widowControl/>
        <w:suppressLineNumbers w:val="0"/>
        <w:kinsoku/>
        <w:overflowPunct/>
        <w:topLinePunct w:val="0"/>
        <w:autoSpaceDE/>
        <w:autoSpaceDN/>
        <w:bidi w:val="0"/>
        <w:adjustRightInd/>
        <w:snapToGrid/>
        <w:spacing w:line="560" w:lineRule="exact"/>
        <w:ind w:firstLine="662" w:firstLineChars="200"/>
        <w:jc w:val="left"/>
        <w:textAlignment w:val="auto"/>
        <w:rPr>
          <w:rFonts w:hint="eastAsia" w:ascii="Times New Roman" w:hAnsi="Times New Roman" w:eastAsia="仿宋_GB2312" w:cs="Mongolian Baiti"/>
          <w:kern w:val="1"/>
          <w:sz w:val="32"/>
          <w:szCs w:val="32"/>
        </w:rPr>
      </w:pPr>
      <w:r>
        <w:rPr>
          <w:rFonts w:hint="eastAsia" w:ascii="仿宋_GB2312" w:hAnsi="仿宋_GB2312" w:eastAsia="仿宋_GB2312" w:cs="仿宋_GB2312"/>
          <w:b w:val="0"/>
          <w:bCs w:val="0"/>
          <w:sz w:val="32"/>
          <w:szCs w:val="32"/>
          <w:u w:val="none"/>
          <w:lang w:val="en-US" w:eastAsia="zh-CN" w:bidi="ar-SA"/>
        </w:rPr>
        <w:t>因当事人具有从轻行政处罚的情节，本办按照《福建省药品行政处罚裁量基准（试行）》YP-36条第1点“从轻处罚”裁量基准“并处x万元罚款（20≤x≤74）”规定进行裁量。依据《中华人民共和国药品管理法》第一百三十一条、</w:t>
      </w:r>
      <w:bookmarkStart w:id="1" w:name="_Hlk20173014"/>
      <w:r>
        <w:rPr>
          <w:rFonts w:hint="eastAsia" w:ascii="仿宋_GB2312" w:hAnsi="仿宋_GB2312" w:eastAsia="仿宋_GB2312" w:cs="仿宋_GB2312"/>
          <w:b w:val="0"/>
          <w:bCs w:val="0"/>
          <w:sz w:val="32"/>
          <w:szCs w:val="32"/>
          <w:u w:val="none"/>
          <w:lang w:val="en-US" w:eastAsia="zh-CN" w:bidi="ar-SA"/>
        </w:rPr>
        <w:t>《药品网络销售监督管理办法》</w:t>
      </w:r>
      <w:bookmarkEnd w:id="1"/>
      <w:r>
        <w:rPr>
          <w:rFonts w:hint="eastAsia" w:ascii="仿宋_GB2312" w:hAnsi="仿宋_GB2312" w:eastAsia="仿宋_GB2312" w:cs="仿宋_GB2312"/>
          <w:b w:val="0"/>
          <w:bCs w:val="0"/>
          <w:sz w:val="32"/>
          <w:szCs w:val="32"/>
          <w:u w:val="none"/>
          <w:lang w:val="en-US" w:eastAsia="zh-CN" w:bidi="ar-SA"/>
        </w:rPr>
        <w:t>第四十条的规定</w:t>
      </w:r>
      <w:r>
        <w:rPr>
          <w:rFonts w:hint="eastAsia" w:ascii="黑体" w:hAnsi="Times New Roman" w:eastAsia="黑体" w:cs="Mongolian Baiti"/>
          <w:kern w:val="1"/>
          <w:sz w:val="32"/>
          <w:szCs w:val="32"/>
        </w:rPr>
        <w:t>，</w:t>
      </w:r>
      <w:r>
        <w:rPr>
          <w:rFonts w:hint="eastAsia" w:ascii="Times New Roman" w:hAnsi="Times New Roman" w:eastAsia="仿宋_GB2312" w:cs="Mongolian Baiti"/>
          <w:kern w:val="1"/>
          <w:sz w:val="32"/>
          <w:szCs w:val="32"/>
        </w:rPr>
        <w:t>现责令当事人改正上述违法行为，并决定处罚如下：</w:t>
      </w:r>
    </w:p>
    <w:p>
      <w:pPr>
        <w:pStyle w:val="2"/>
        <w:keepNext w:val="0"/>
        <w:keepLines w:val="0"/>
        <w:pageBreakBefore w:val="0"/>
        <w:widowControl w:val="0"/>
        <w:tabs>
          <w:tab w:val="left" w:pos="8920"/>
        </w:tabs>
        <w:kinsoku/>
        <w:wordWrap/>
        <w:overflowPunct/>
        <w:topLinePunct w:val="0"/>
        <w:autoSpaceDE/>
        <w:autoSpaceDN/>
        <w:bidi w:val="0"/>
        <w:adjustRightInd/>
        <w:snapToGrid/>
        <w:spacing w:line="560" w:lineRule="exact"/>
        <w:ind w:left="0" w:leftChars="0" w:firstLine="662" w:firstLineChars="200"/>
        <w:textAlignment w:val="auto"/>
        <w:rPr>
          <w:rFonts w:hint="eastAsia" w:ascii="仿宋_GB2312" w:hAnsi="仿宋_GB2312" w:eastAsia="仿宋_GB2312" w:cs="仿宋_GB2312"/>
          <w:b w:val="0"/>
          <w:bCs w:val="0"/>
          <w:sz w:val="32"/>
          <w:szCs w:val="32"/>
          <w:u w:val="none"/>
          <w:lang w:val="en-US" w:eastAsia="zh-CN" w:bidi="ar-SA"/>
        </w:rPr>
      </w:pPr>
      <w:r>
        <w:rPr>
          <w:rFonts w:hint="eastAsia" w:ascii="仿宋_GB2312" w:hAnsi="仿宋_GB2312" w:eastAsia="仿宋_GB2312" w:cs="仿宋_GB2312"/>
          <w:b w:val="0"/>
          <w:bCs w:val="0"/>
          <w:sz w:val="32"/>
          <w:szCs w:val="32"/>
          <w:u w:val="none"/>
          <w:lang w:val="en-US" w:eastAsia="zh-CN" w:bidi="ar-SA"/>
        </w:rPr>
        <w:t>1.没收违法所得1449元（人民币壹仟肆佰肆拾玖元整）</w:t>
      </w:r>
    </w:p>
    <w:p>
      <w:pPr>
        <w:pStyle w:val="2"/>
        <w:keepNext w:val="0"/>
        <w:keepLines w:val="0"/>
        <w:pageBreakBefore w:val="0"/>
        <w:widowControl w:val="0"/>
        <w:tabs>
          <w:tab w:val="left" w:pos="8920"/>
        </w:tabs>
        <w:kinsoku/>
        <w:wordWrap/>
        <w:overflowPunct/>
        <w:topLinePunct w:val="0"/>
        <w:autoSpaceDE/>
        <w:autoSpaceDN/>
        <w:bidi w:val="0"/>
        <w:adjustRightInd/>
        <w:snapToGrid/>
        <w:spacing w:line="560" w:lineRule="exact"/>
        <w:ind w:left="0" w:firstLine="662" w:firstLineChars="200"/>
        <w:textAlignment w:val="auto"/>
        <w:rPr>
          <w:rFonts w:hint="eastAsia" w:ascii="仿宋_GB2312" w:hAnsi="仿宋_GB2312" w:eastAsia="仿宋_GB2312" w:cs="仿宋_GB2312"/>
          <w:b w:val="0"/>
          <w:bCs w:val="0"/>
          <w:sz w:val="32"/>
          <w:szCs w:val="32"/>
          <w:u w:val="none"/>
          <w:lang w:val="en-US" w:eastAsia="zh-CN" w:bidi="ar-SA"/>
        </w:rPr>
      </w:pPr>
      <w:r>
        <w:rPr>
          <w:rFonts w:hint="eastAsia" w:ascii="仿宋_GB2312" w:hAnsi="仿宋_GB2312" w:eastAsia="仿宋_GB2312" w:cs="仿宋_GB2312"/>
          <w:b w:val="0"/>
          <w:bCs w:val="0"/>
          <w:sz w:val="32"/>
          <w:szCs w:val="32"/>
          <w:u w:val="none"/>
          <w:lang w:val="en-US" w:eastAsia="zh-CN" w:bidi="ar-SA"/>
        </w:rPr>
        <w:t>2.罚款200000元（人民币贰拾万元整）。</w:t>
      </w:r>
    </w:p>
    <w:p>
      <w:pPr>
        <w:pStyle w:val="2"/>
        <w:keepNext w:val="0"/>
        <w:keepLines w:val="0"/>
        <w:pageBreakBefore w:val="0"/>
        <w:widowControl w:val="0"/>
        <w:tabs>
          <w:tab w:val="left" w:pos="8964"/>
        </w:tabs>
        <w:kinsoku/>
        <w:wordWrap/>
        <w:overflowPunct/>
        <w:topLinePunct w:val="0"/>
        <w:autoSpaceDE/>
        <w:autoSpaceDN/>
        <w:bidi w:val="0"/>
        <w:adjustRightInd/>
        <w:snapToGrid/>
        <w:spacing w:line="560" w:lineRule="exact"/>
        <w:ind w:left="0" w:firstLine="662" w:firstLineChars="200"/>
        <w:textAlignment w:val="auto"/>
        <w:rPr>
          <w:rFonts w:hint="eastAsia" w:ascii="仿宋_GB2312" w:hAnsi="仿宋_GB2312" w:eastAsia="仿宋_GB2312" w:cs="仿宋_GB2312"/>
          <w:b w:val="0"/>
          <w:bCs w:val="0"/>
          <w:sz w:val="32"/>
          <w:szCs w:val="32"/>
          <w:u w:val="none"/>
          <w:lang w:val="en-US" w:eastAsia="zh-CN" w:bidi="ar-SA"/>
        </w:rPr>
      </w:pPr>
      <w:r>
        <w:rPr>
          <w:rFonts w:hint="eastAsia" w:ascii="仿宋_GB2312" w:hAnsi="仿宋_GB2312" w:eastAsia="仿宋_GB2312" w:cs="仿宋_GB2312"/>
          <w:b w:val="0"/>
          <w:bCs w:val="0"/>
          <w:sz w:val="32"/>
          <w:szCs w:val="32"/>
          <w:u w:val="none"/>
          <w:lang w:val="en-US" w:eastAsia="zh-CN" w:bidi="ar-SA"/>
        </w:rPr>
        <w:t>以上罚没款合计201449元（人民币贰拾万</w:t>
      </w:r>
      <w:r>
        <w:rPr>
          <w:rFonts w:hint="eastAsia" w:ascii="仿宋_GB2312" w:hAnsi="仿宋_GB2312" w:eastAsia="仿宋_GB2312" w:cs="仿宋_GB2312"/>
          <w:color w:val="auto"/>
          <w:sz w:val="32"/>
          <w:szCs w:val="32"/>
          <w:u w:val="none"/>
          <w:lang w:val="en-US" w:eastAsia="zh-CN"/>
        </w:rPr>
        <w:t>壹仟肆佰肆拾玖元整</w:t>
      </w:r>
      <w:r>
        <w:rPr>
          <w:rFonts w:hint="eastAsia" w:ascii="仿宋_GB2312" w:hAnsi="仿宋_GB2312" w:eastAsia="仿宋_GB2312" w:cs="仿宋_GB2312"/>
          <w:b w:val="0"/>
          <w:bCs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62"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当事人应自接到本行政处罚决定之日起十五日内缴纳上</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 xml:space="preserve">述罚没款。当事人根据福建省药品监督管理局厦门药品稽查办公室开具的行政处罚缴款通知书，自行选择缴款方式。逾期不缴纳罚款的，依据《中华人民共和国行政处罚法》第七十二条的规定，我办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62"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当事人如不服本行政处罚决定，可以在收到本行政处罚</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决定书之日起六十日内向福建省人民政府申请行政复议；也可以在六个月内依法向厦门市思明区人民法院提起行政诉讼。申请行政复议或者提起行政诉讼期间，行政处罚不停止执行。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default" w:ascii="仿宋_GB2312" w:hAnsi="仿宋_GB2312" w:eastAsia="仿宋_GB2312" w:cs="仿宋_GB2312"/>
          <w:b w:val="0"/>
          <w:bCs w:val="0"/>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 xml:space="preserve"> 福建省药品监督管理局厦门药品稽查办公室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u w:val="none"/>
          <w:lang w:val="en-US" w:eastAsia="zh-CN" w:bidi="ar-SA"/>
        </w:rPr>
        <w:t xml:space="preserve">                            </w:t>
      </w:r>
      <w:r>
        <w:rPr>
          <w:rFonts w:hint="default" w:ascii="仿宋_GB2312" w:hAnsi="仿宋_GB2312" w:eastAsia="仿宋_GB2312" w:cs="仿宋_GB2312"/>
          <w:b w:val="0"/>
          <w:bCs w:val="0"/>
          <w:color w:val="0000FF"/>
          <w:kern w:val="2"/>
          <w:sz w:val="32"/>
          <w:szCs w:val="32"/>
          <w:u w:val="none"/>
          <w:lang w:val="en-US" w:eastAsia="zh-CN" w:bidi="ar-SA"/>
        </w:rPr>
        <w:t xml:space="preserve"> </w:t>
      </w:r>
      <w:r>
        <w:rPr>
          <w:rFonts w:hint="default" w:ascii="仿宋_GB2312" w:hAnsi="仿宋_GB2312" w:eastAsia="仿宋_GB2312" w:cs="仿宋_GB2312"/>
          <w:b w:val="0"/>
          <w:bCs w:val="0"/>
          <w:color w:val="auto"/>
          <w:kern w:val="2"/>
          <w:sz w:val="32"/>
          <w:szCs w:val="32"/>
          <w:u w:val="none"/>
          <w:lang w:val="en-US" w:eastAsia="zh-CN" w:bidi="ar-SA"/>
        </w:rPr>
        <w:t xml:space="preserve"> </w:t>
      </w:r>
      <w:r>
        <w:rPr>
          <w:rFonts w:hint="eastAsia" w:ascii="仿宋_GB2312" w:hAnsi="仿宋_GB2312" w:eastAsia="仿宋_GB2312" w:cs="仿宋_GB2312"/>
          <w:b w:val="0"/>
          <w:bCs w:val="0"/>
          <w:color w:val="auto"/>
          <w:kern w:val="2"/>
          <w:sz w:val="32"/>
          <w:szCs w:val="32"/>
          <w:u w:val="none"/>
          <w:lang w:val="en-US" w:eastAsia="zh-CN" w:bidi="ar-SA"/>
        </w:rPr>
        <w:t xml:space="preserve">2024年9月20日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b w:val="0"/>
          <w:bCs w:val="0"/>
          <w:color w:val="auto"/>
          <w:sz w:val="32"/>
          <w:szCs w:val="32"/>
          <w:u w:val="none"/>
          <w:lang w:val="en-US" w:eastAsia="zh-CN"/>
        </w:rPr>
      </w:pP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
    <w:altName w:val="Droid Sans Fallback"/>
    <w:panose1 w:val="0201060906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18"/>
                              <w:lang w:eastAsia="zh-CN"/>
                            </w:rPr>
                            <w:t xml:space="preserve">第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PAGE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1</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 共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NUMPAGES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6</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18"/>
                        <w:lang w:eastAsia="zh-CN"/>
                      </w:rPr>
                      <w:t xml:space="preserve">第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PAGE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1</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 共 </w:t>
                    </w:r>
                    <w:r>
                      <w:rPr>
                        <w:rFonts w:hint="eastAsia" w:ascii="仿宋_GB2312" w:hAnsi="仿宋_GB2312" w:eastAsia="仿宋_GB2312" w:cs="仿宋_GB2312"/>
                        <w:sz w:val="18"/>
                        <w:lang w:eastAsia="zh-CN"/>
                      </w:rPr>
                      <w:fldChar w:fldCharType="begin"/>
                    </w:r>
                    <w:r>
                      <w:rPr>
                        <w:rFonts w:hint="eastAsia" w:ascii="仿宋_GB2312" w:hAnsi="仿宋_GB2312" w:eastAsia="仿宋_GB2312" w:cs="仿宋_GB2312"/>
                        <w:sz w:val="18"/>
                        <w:lang w:eastAsia="zh-CN"/>
                      </w:rPr>
                      <w:instrText xml:space="preserve"> NUMPAGES  \* MERGEFORMAT </w:instrText>
                    </w:r>
                    <w:r>
                      <w:rPr>
                        <w:rFonts w:hint="eastAsia" w:ascii="仿宋_GB2312" w:hAnsi="仿宋_GB2312" w:eastAsia="仿宋_GB2312" w:cs="仿宋_GB2312"/>
                        <w:sz w:val="18"/>
                        <w:lang w:eastAsia="zh-CN"/>
                      </w:rPr>
                      <w:fldChar w:fldCharType="separate"/>
                    </w:r>
                    <w:r>
                      <w:rPr>
                        <w:rFonts w:hint="eastAsia" w:ascii="仿宋_GB2312" w:hAnsi="仿宋_GB2312" w:eastAsia="仿宋_GB2312" w:cs="仿宋_GB2312"/>
                        <w:sz w:val="18"/>
                        <w:lang w:eastAsia="zh-CN"/>
                      </w:rPr>
                      <w:t>6</w:t>
                    </w:r>
                    <w:r>
                      <w:rPr>
                        <w:rFonts w:hint="eastAsia" w:ascii="仿宋_GB2312" w:hAnsi="仿宋_GB2312" w:eastAsia="仿宋_GB2312" w:cs="仿宋_GB2312"/>
                        <w:sz w:val="18"/>
                        <w:lang w:eastAsia="zh-CN"/>
                      </w:rPr>
                      <w:fldChar w:fldCharType="end"/>
                    </w:r>
                    <w:r>
                      <w:rPr>
                        <w:rFonts w:hint="eastAsia" w:ascii="仿宋_GB2312" w:hAnsi="仿宋_GB2312" w:eastAsia="仿宋_GB2312" w:cs="仿宋_GB2312"/>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735AF1"/>
    <w:rsid w:val="00A51E02"/>
    <w:rsid w:val="01211348"/>
    <w:rsid w:val="01283A8A"/>
    <w:rsid w:val="014803C7"/>
    <w:rsid w:val="019D6337"/>
    <w:rsid w:val="01C26B60"/>
    <w:rsid w:val="02033C33"/>
    <w:rsid w:val="025E6EEA"/>
    <w:rsid w:val="02AE7880"/>
    <w:rsid w:val="02B80CC8"/>
    <w:rsid w:val="02F55F51"/>
    <w:rsid w:val="03736B89"/>
    <w:rsid w:val="047C2D36"/>
    <w:rsid w:val="05FB028F"/>
    <w:rsid w:val="06644BD4"/>
    <w:rsid w:val="06861136"/>
    <w:rsid w:val="07047F86"/>
    <w:rsid w:val="07234B0E"/>
    <w:rsid w:val="074C6CE7"/>
    <w:rsid w:val="081176B6"/>
    <w:rsid w:val="0881307A"/>
    <w:rsid w:val="08824964"/>
    <w:rsid w:val="09250FE5"/>
    <w:rsid w:val="095C76C9"/>
    <w:rsid w:val="095F6025"/>
    <w:rsid w:val="09BA3057"/>
    <w:rsid w:val="0A03729A"/>
    <w:rsid w:val="0A37799D"/>
    <w:rsid w:val="0B665017"/>
    <w:rsid w:val="0B8E515A"/>
    <w:rsid w:val="0C4F3930"/>
    <w:rsid w:val="0CB83E43"/>
    <w:rsid w:val="0CC7487E"/>
    <w:rsid w:val="0CE813A4"/>
    <w:rsid w:val="0D071397"/>
    <w:rsid w:val="0D0A4234"/>
    <w:rsid w:val="0D213D23"/>
    <w:rsid w:val="0DBD4D44"/>
    <w:rsid w:val="0DC52208"/>
    <w:rsid w:val="0EA21D1F"/>
    <w:rsid w:val="0ED42456"/>
    <w:rsid w:val="0EE44204"/>
    <w:rsid w:val="0EE70DEF"/>
    <w:rsid w:val="0EFD37D6"/>
    <w:rsid w:val="0F117A78"/>
    <w:rsid w:val="0F12139D"/>
    <w:rsid w:val="101F1CE4"/>
    <w:rsid w:val="1020384F"/>
    <w:rsid w:val="106832D0"/>
    <w:rsid w:val="10B62429"/>
    <w:rsid w:val="121B071F"/>
    <w:rsid w:val="122C2C51"/>
    <w:rsid w:val="12340754"/>
    <w:rsid w:val="124F13CD"/>
    <w:rsid w:val="12975BC2"/>
    <w:rsid w:val="12C63BD6"/>
    <w:rsid w:val="13284BA8"/>
    <w:rsid w:val="132E2F7C"/>
    <w:rsid w:val="13B3604E"/>
    <w:rsid w:val="13DA266A"/>
    <w:rsid w:val="14260EF1"/>
    <w:rsid w:val="147C661C"/>
    <w:rsid w:val="14EE383A"/>
    <w:rsid w:val="153A2B84"/>
    <w:rsid w:val="154C44CA"/>
    <w:rsid w:val="16280ADA"/>
    <w:rsid w:val="16282482"/>
    <w:rsid w:val="168B4A92"/>
    <w:rsid w:val="17790F19"/>
    <w:rsid w:val="17911BBB"/>
    <w:rsid w:val="17BD07E2"/>
    <w:rsid w:val="17D3D61F"/>
    <w:rsid w:val="17D72156"/>
    <w:rsid w:val="17DF1E2E"/>
    <w:rsid w:val="18A808B0"/>
    <w:rsid w:val="18B64CDA"/>
    <w:rsid w:val="18FF363D"/>
    <w:rsid w:val="190C603F"/>
    <w:rsid w:val="19930216"/>
    <w:rsid w:val="19A05D17"/>
    <w:rsid w:val="19E13C8E"/>
    <w:rsid w:val="1A4E17C7"/>
    <w:rsid w:val="1A614BFE"/>
    <w:rsid w:val="1A6E51C6"/>
    <w:rsid w:val="1AB07A5A"/>
    <w:rsid w:val="1ABA5ACD"/>
    <w:rsid w:val="1B1404EA"/>
    <w:rsid w:val="1B266509"/>
    <w:rsid w:val="1BB456DC"/>
    <w:rsid w:val="1BF427A7"/>
    <w:rsid w:val="1C1F6E7D"/>
    <w:rsid w:val="1C2803DD"/>
    <w:rsid w:val="1C412DAE"/>
    <w:rsid w:val="1C9D3EFF"/>
    <w:rsid w:val="1CCF311E"/>
    <w:rsid w:val="1D312A67"/>
    <w:rsid w:val="1D785941"/>
    <w:rsid w:val="1D9A2236"/>
    <w:rsid w:val="1E3C57F2"/>
    <w:rsid w:val="1ED95962"/>
    <w:rsid w:val="1F002A62"/>
    <w:rsid w:val="1F2B6184"/>
    <w:rsid w:val="1F4B78BA"/>
    <w:rsid w:val="1F8C0992"/>
    <w:rsid w:val="1FA03770"/>
    <w:rsid w:val="1FBEACB3"/>
    <w:rsid w:val="1FC22EE0"/>
    <w:rsid w:val="20FA31D4"/>
    <w:rsid w:val="219D5777"/>
    <w:rsid w:val="21E307F1"/>
    <w:rsid w:val="21EA5222"/>
    <w:rsid w:val="22316324"/>
    <w:rsid w:val="237321A2"/>
    <w:rsid w:val="239E241C"/>
    <w:rsid w:val="23B11F26"/>
    <w:rsid w:val="23E51125"/>
    <w:rsid w:val="240A2BE1"/>
    <w:rsid w:val="240E69E8"/>
    <w:rsid w:val="24185C7C"/>
    <w:rsid w:val="24567FA5"/>
    <w:rsid w:val="24D341CB"/>
    <w:rsid w:val="25C25ABF"/>
    <w:rsid w:val="25D42704"/>
    <w:rsid w:val="25F83D92"/>
    <w:rsid w:val="27761A90"/>
    <w:rsid w:val="278A1B81"/>
    <w:rsid w:val="27937E7B"/>
    <w:rsid w:val="27E00B0D"/>
    <w:rsid w:val="2814305F"/>
    <w:rsid w:val="29600DA0"/>
    <w:rsid w:val="2A017B40"/>
    <w:rsid w:val="2A872A20"/>
    <w:rsid w:val="2A8B20DA"/>
    <w:rsid w:val="2A93139A"/>
    <w:rsid w:val="2ACD4152"/>
    <w:rsid w:val="2B302B92"/>
    <w:rsid w:val="2BBA451A"/>
    <w:rsid w:val="2BCA1BD8"/>
    <w:rsid w:val="2BCE0C18"/>
    <w:rsid w:val="2C7554E7"/>
    <w:rsid w:val="2CBC5DCC"/>
    <w:rsid w:val="2DB1343A"/>
    <w:rsid w:val="2DC20491"/>
    <w:rsid w:val="2E1B7FAF"/>
    <w:rsid w:val="2E2B11AE"/>
    <w:rsid w:val="2E2C44C3"/>
    <w:rsid w:val="2E6C067D"/>
    <w:rsid w:val="2E7B3A81"/>
    <w:rsid w:val="2EA84CBB"/>
    <w:rsid w:val="2ED11280"/>
    <w:rsid w:val="2EE02BD7"/>
    <w:rsid w:val="2EFE6858"/>
    <w:rsid w:val="2F156C9A"/>
    <w:rsid w:val="2F342B87"/>
    <w:rsid w:val="2F5A06A4"/>
    <w:rsid w:val="2FE55A06"/>
    <w:rsid w:val="30006B77"/>
    <w:rsid w:val="303178A7"/>
    <w:rsid w:val="309333D2"/>
    <w:rsid w:val="30E27974"/>
    <w:rsid w:val="30F5200D"/>
    <w:rsid w:val="31CE6F52"/>
    <w:rsid w:val="31D125BC"/>
    <w:rsid w:val="324256F7"/>
    <w:rsid w:val="328F1449"/>
    <w:rsid w:val="32B630F7"/>
    <w:rsid w:val="32E1682A"/>
    <w:rsid w:val="32E331F9"/>
    <w:rsid w:val="333B02CB"/>
    <w:rsid w:val="338C468D"/>
    <w:rsid w:val="3498350D"/>
    <w:rsid w:val="35B75EF0"/>
    <w:rsid w:val="3610509D"/>
    <w:rsid w:val="36691631"/>
    <w:rsid w:val="36C12A58"/>
    <w:rsid w:val="36F41890"/>
    <w:rsid w:val="37163663"/>
    <w:rsid w:val="377A08A9"/>
    <w:rsid w:val="379C7D9D"/>
    <w:rsid w:val="382C3A2A"/>
    <w:rsid w:val="382D218A"/>
    <w:rsid w:val="3889642A"/>
    <w:rsid w:val="38A123CD"/>
    <w:rsid w:val="38B913EA"/>
    <w:rsid w:val="3966228B"/>
    <w:rsid w:val="3A956312"/>
    <w:rsid w:val="3AB23A23"/>
    <w:rsid w:val="3B051965"/>
    <w:rsid w:val="3B4E5AE1"/>
    <w:rsid w:val="3B6C35CC"/>
    <w:rsid w:val="3BB16674"/>
    <w:rsid w:val="3BBD088B"/>
    <w:rsid w:val="3BE0286C"/>
    <w:rsid w:val="3CA038CA"/>
    <w:rsid w:val="3CAF761D"/>
    <w:rsid w:val="3CDD75B2"/>
    <w:rsid w:val="3D021272"/>
    <w:rsid w:val="3D5F53F7"/>
    <w:rsid w:val="3DD12613"/>
    <w:rsid w:val="3DFFF4F2"/>
    <w:rsid w:val="3EA2227C"/>
    <w:rsid w:val="3F044E46"/>
    <w:rsid w:val="3F657A40"/>
    <w:rsid w:val="3F7E62D7"/>
    <w:rsid w:val="3FCD5961"/>
    <w:rsid w:val="409D09E4"/>
    <w:rsid w:val="40C91A38"/>
    <w:rsid w:val="41693CC1"/>
    <w:rsid w:val="419440C4"/>
    <w:rsid w:val="41991F78"/>
    <w:rsid w:val="41B00D82"/>
    <w:rsid w:val="41D227C5"/>
    <w:rsid w:val="422055F1"/>
    <w:rsid w:val="423751D3"/>
    <w:rsid w:val="42817B99"/>
    <w:rsid w:val="42910E5C"/>
    <w:rsid w:val="42C72F56"/>
    <w:rsid w:val="430260F3"/>
    <w:rsid w:val="4349459D"/>
    <w:rsid w:val="44066691"/>
    <w:rsid w:val="44171C9F"/>
    <w:rsid w:val="45845932"/>
    <w:rsid w:val="479E54F9"/>
    <w:rsid w:val="47D37A8C"/>
    <w:rsid w:val="48104D63"/>
    <w:rsid w:val="48C356E3"/>
    <w:rsid w:val="48F07E9D"/>
    <w:rsid w:val="491D04BE"/>
    <w:rsid w:val="495F0626"/>
    <w:rsid w:val="496356E9"/>
    <w:rsid w:val="4A070CBA"/>
    <w:rsid w:val="4A1A3B0F"/>
    <w:rsid w:val="4AB56116"/>
    <w:rsid w:val="4B8E66F4"/>
    <w:rsid w:val="4BE002E7"/>
    <w:rsid w:val="4BFE3402"/>
    <w:rsid w:val="4C46638F"/>
    <w:rsid w:val="4CA17D49"/>
    <w:rsid w:val="4CDF4ADC"/>
    <w:rsid w:val="4CE2704A"/>
    <w:rsid w:val="4E433291"/>
    <w:rsid w:val="4E6D2443"/>
    <w:rsid w:val="4E923C2F"/>
    <w:rsid w:val="4EA425BB"/>
    <w:rsid w:val="4F435E45"/>
    <w:rsid w:val="4FC1421C"/>
    <w:rsid w:val="50165435"/>
    <w:rsid w:val="508E6C4D"/>
    <w:rsid w:val="508F7926"/>
    <w:rsid w:val="50E14ABA"/>
    <w:rsid w:val="519D0C69"/>
    <w:rsid w:val="51CE096B"/>
    <w:rsid w:val="523240DF"/>
    <w:rsid w:val="531834BB"/>
    <w:rsid w:val="53516E15"/>
    <w:rsid w:val="53A07F19"/>
    <w:rsid w:val="53BC2B12"/>
    <w:rsid w:val="53F339B6"/>
    <w:rsid w:val="540C588D"/>
    <w:rsid w:val="548C092D"/>
    <w:rsid w:val="54C26017"/>
    <w:rsid w:val="55542A7C"/>
    <w:rsid w:val="55E717CA"/>
    <w:rsid w:val="565E5BAA"/>
    <w:rsid w:val="56F7F31C"/>
    <w:rsid w:val="57AF35AA"/>
    <w:rsid w:val="57AF6F70"/>
    <w:rsid w:val="57B224AA"/>
    <w:rsid w:val="58262294"/>
    <w:rsid w:val="58A21DFE"/>
    <w:rsid w:val="58EE04C8"/>
    <w:rsid w:val="5ABB5486"/>
    <w:rsid w:val="5ADA6F82"/>
    <w:rsid w:val="5AFF8E11"/>
    <w:rsid w:val="5B516418"/>
    <w:rsid w:val="5B95462A"/>
    <w:rsid w:val="5B992C6C"/>
    <w:rsid w:val="5BD17EF0"/>
    <w:rsid w:val="5BE046AA"/>
    <w:rsid w:val="5C250B95"/>
    <w:rsid w:val="5C360CD4"/>
    <w:rsid w:val="5C452439"/>
    <w:rsid w:val="5CAE5E05"/>
    <w:rsid w:val="5D10435E"/>
    <w:rsid w:val="5D194FD9"/>
    <w:rsid w:val="5D8D16E1"/>
    <w:rsid w:val="5DFF7C57"/>
    <w:rsid w:val="5E07191A"/>
    <w:rsid w:val="5E557DE5"/>
    <w:rsid w:val="5EBF5E64"/>
    <w:rsid w:val="5F196EAB"/>
    <w:rsid w:val="5F26651E"/>
    <w:rsid w:val="5F5B3064"/>
    <w:rsid w:val="5F66F517"/>
    <w:rsid w:val="5F9EC889"/>
    <w:rsid w:val="5FB4DDCB"/>
    <w:rsid w:val="5FEE528B"/>
    <w:rsid w:val="5FFEAE2B"/>
    <w:rsid w:val="60342788"/>
    <w:rsid w:val="60424E6C"/>
    <w:rsid w:val="60E91783"/>
    <w:rsid w:val="60F83E4C"/>
    <w:rsid w:val="60F93EFE"/>
    <w:rsid w:val="61F82039"/>
    <w:rsid w:val="61F96121"/>
    <w:rsid w:val="623F6C64"/>
    <w:rsid w:val="63347AEC"/>
    <w:rsid w:val="635C1BED"/>
    <w:rsid w:val="63620474"/>
    <w:rsid w:val="63F418CB"/>
    <w:rsid w:val="641401EF"/>
    <w:rsid w:val="64927950"/>
    <w:rsid w:val="64F75DED"/>
    <w:rsid w:val="6555133A"/>
    <w:rsid w:val="659E6BF4"/>
    <w:rsid w:val="65FF37AF"/>
    <w:rsid w:val="662E584B"/>
    <w:rsid w:val="66A8039C"/>
    <w:rsid w:val="66ED17A8"/>
    <w:rsid w:val="67147E51"/>
    <w:rsid w:val="67A74A50"/>
    <w:rsid w:val="684D3FEB"/>
    <w:rsid w:val="69B22B69"/>
    <w:rsid w:val="69C356DB"/>
    <w:rsid w:val="6A15465C"/>
    <w:rsid w:val="6A6F5074"/>
    <w:rsid w:val="6ABE5239"/>
    <w:rsid w:val="6ABF3AF7"/>
    <w:rsid w:val="6AC216A3"/>
    <w:rsid w:val="6B361F10"/>
    <w:rsid w:val="6B5C4B98"/>
    <w:rsid w:val="6B5D2C91"/>
    <w:rsid w:val="6C2573F8"/>
    <w:rsid w:val="6C6A4C67"/>
    <w:rsid w:val="6CEFEFEC"/>
    <w:rsid w:val="6CFA78F2"/>
    <w:rsid w:val="6D160626"/>
    <w:rsid w:val="6D56105E"/>
    <w:rsid w:val="6D592F42"/>
    <w:rsid w:val="6D6C7E4D"/>
    <w:rsid w:val="6E094B0F"/>
    <w:rsid w:val="6E0D061D"/>
    <w:rsid w:val="6E3712D5"/>
    <w:rsid w:val="6E971BFC"/>
    <w:rsid w:val="6EDF9BA5"/>
    <w:rsid w:val="6FDD0717"/>
    <w:rsid w:val="6FDFA9C7"/>
    <w:rsid w:val="6FE42CC5"/>
    <w:rsid w:val="706E396F"/>
    <w:rsid w:val="70B32323"/>
    <w:rsid w:val="70BF3B06"/>
    <w:rsid w:val="715A6741"/>
    <w:rsid w:val="716F0F0E"/>
    <w:rsid w:val="7190129E"/>
    <w:rsid w:val="7257348D"/>
    <w:rsid w:val="727E41CB"/>
    <w:rsid w:val="729930F9"/>
    <w:rsid w:val="72C84B16"/>
    <w:rsid w:val="72E23C5B"/>
    <w:rsid w:val="731430F8"/>
    <w:rsid w:val="733F5A76"/>
    <w:rsid w:val="736E1BF5"/>
    <w:rsid w:val="741E2630"/>
    <w:rsid w:val="74813D6C"/>
    <w:rsid w:val="75254AEA"/>
    <w:rsid w:val="759F6642"/>
    <w:rsid w:val="75DBD874"/>
    <w:rsid w:val="764101A3"/>
    <w:rsid w:val="769876C4"/>
    <w:rsid w:val="76B97491"/>
    <w:rsid w:val="77251A20"/>
    <w:rsid w:val="779500CB"/>
    <w:rsid w:val="77993957"/>
    <w:rsid w:val="784F31B8"/>
    <w:rsid w:val="78AD0B7F"/>
    <w:rsid w:val="7919435A"/>
    <w:rsid w:val="7ABE1095"/>
    <w:rsid w:val="7B6FDDB1"/>
    <w:rsid w:val="7BBDEAF6"/>
    <w:rsid w:val="7BC5003C"/>
    <w:rsid w:val="7BEFA8EA"/>
    <w:rsid w:val="7C0947B1"/>
    <w:rsid w:val="7C2E112B"/>
    <w:rsid w:val="7D1568ED"/>
    <w:rsid w:val="7D6701E6"/>
    <w:rsid w:val="7D9B1FC1"/>
    <w:rsid w:val="7DFA3589"/>
    <w:rsid w:val="7DFF9887"/>
    <w:rsid w:val="7E5416ED"/>
    <w:rsid w:val="7E7DB236"/>
    <w:rsid w:val="7EBF72EB"/>
    <w:rsid w:val="7ED103A5"/>
    <w:rsid w:val="7EF845AE"/>
    <w:rsid w:val="7EFF6039"/>
    <w:rsid w:val="7F5F0376"/>
    <w:rsid w:val="7F5F0CFC"/>
    <w:rsid w:val="7F76F860"/>
    <w:rsid w:val="7F93298D"/>
    <w:rsid w:val="7FBB4CD8"/>
    <w:rsid w:val="7FBEED0A"/>
    <w:rsid w:val="7FDD02AD"/>
    <w:rsid w:val="7FFE3177"/>
    <w:rsid w:val="7FFFED07"/>
    <w:rsid w:val="8EEE47DF"/>
    <w:rsid w:val="9DFD5ECD"/>
    <w:rsid w:val="9FFFF1D2"/>
    <w:rsid w:val="AE7F2719"/>
    <w:rsid w:val="AFFF2930"/>
    <w:rsid w:val="B1FFA7B8"/>
    <w:rsid w:val="B35F9C66"/>
    <w:rsid w:val="B6542CF8"/>
    <w:rsid w:val="B7FF1D3A"/>
    <w:rsid w:val="B9BE766E"/>
    <w:rsid w:val="B9CF3A4D"/>
    <w:rsid w:val="B9FF1B59"/>
    <w:rsid w:val="BBEEB986"/>
    <w:rsid w:val="BDDEC271"/>
    <w:rsid w:val="BEFFB4E2"/>
    <w:rsid w:val="CD7FAC8B"/>
    <w:rsid w:val="D3FE6520"/>
    <w:rsid w:val="D674989A"/>
    <w:rsid w:val="D77EDF9E"/>
    <w:rsid w:val="DD4D6ED1"/>
    <w:rsid w:val="DEE362D7"/>
    <w:rsid w:val="DF8D999E"/>
    <w:rsid w:val="DF9B87B3"/>
    <w:rsid w:val="DFD7E60D"/>
    <w:rsid w:val="E3B58877"/>
    <w:rsid w:val="E9FD621F"/>
    <w:rsid w:val="EBAFE6E1"/>
    <w:rsid w:val="EBEFB2C8"/>
    <w:rsid w:val="ED6F08E0"/>
    <w:rsid w:val="ED973B46"/>
    <w:rsid w:val="F5EF73B2"/>
    <w:rsid w:val="F65F0888"/>
    <w:rsid w:val="F7CD86CA"/>
    <w:rsid w:val="F95B015C"/>
    <w:rsid w:val="FAEEA041"/>
    <w:rsid w:val="FB350A77"/>
    <w:rsid w:val="FB6F4131"/>
    <w:rsid w:val="FBBD1F72"/>
    <w:rsid w:val="FD77AF9B"/>
    <w:rsid w:val="FD8F70A7"/>
    <w:rsid w:val="FDEBC8D5"/>
    <w:rsid w:val="FF77F3BB"/>
    <w:rsid w:val="FFF7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2019-10-12T00:56:00Z</dcterms:created>
  <dc:creator>林振顺</dc:creator>
  <cp:lastModifiedBy>admin123</cp:lastModifiedBy>
  <cp:lastPrinted>2024-09-21T19:33:00Z</cp:lastPrinted>
  <dcterms:modified xsi:type="dcterms:W3CDTF">2024-10-31T10:11:52Z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F9CFEC53439B4C812EE21567D0040514</vt:lpwstr>
  </property>
</Properties>
</file>