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val="0"/>
        <w:pageBreakBefore w:val="0"/>
        <w:widowControl w:val="0"/>
        <w:tabs>
          <w:tab w:val="left" w:pos="8964"/>
        </w:tabs>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eastAsia="zh-CN"/>
        </w:rPr>
      </w:pPr>
    </w:p>
    <w:p>
      <w:pPr>
        <w:pStyle w:val="5"/>
        <w:keepNext/>
        <w:keepLines w:val="0"/>
        <w:pageBreakBefore w:val="0"/>
        <w:widowControl w:val="0"/>
        <w:tabs>
          <w:tab w:val="left" w:pos="8964"/>
        </w:tabs>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福建省药品监督管理局行政处罚决定书</w:t>
      </w:r>
    </w:p>
    <w:p>
      <w:pPr>
        <w:pStyle w:val="5"/>
        <w:keepNext/>
        <w:keepLines w:val="0"/>
        <w:pageBreakBefore w:val="0"/>
        <w:widowControl w:val="0"/>
        <w:tabs>
          <w:tab w:val="left" w:pos="8964"/>
        </w:tabs>
        <w:kinsoku/>
        <w:wordWrap/>
        <w:overflowPunct/>
        <w:topLinePunct w:val="0"/>
        <w:autoSpaceDE/>
        <w:autoSpaceDN/>
        <w:bidi w:val="0"/>
        <w:spacing w:line="560" w:lineRule="exact"/>
        <w:ind w:left="0" w:leftChars="0" w:firstLine="0" w:firstLineChars="0"/>
        <w:jc w:val="center"/>
        <w:textAlignment w:val="auto"/>
        <w:rPr>
          <w:rFonts w:hint="eastAsia" w:ascii="楷体" w:hAnsi="楷体" w:eastAsia="楷体" w:cs="楷体"/>
          <w:lang w:eastAsia="zh-CN"/>
        </w:rPr>
      </w:pPr>
      <w:r>
        <w:rPr>
          <w:rFonts w:hint="eastAsia" w:ascii="仿宋" w:hAnsi="仿宋" w:eastAsia="仿宋" w:cs="仿宋"/>
          <w:lang w:eastAsia="zh-CN"/>
        </w:rPr>
        <w:t>闽药监厦稽办处罚〔2024〕</w:t>
      </w:r>
      <w:r>
        <w:rPr>
          <w:rFonts w:hint="eastAsia" w:ascii="仿宋" w:hAnsi="仿宋" w:eastAsia="仿宋" w:cs="仿宋"/>
          <w:lang w:val="en-US" w:eastAsia="zh-CN"/>
        </w:rPr>
        <w:t>0</w:t>
      </w:r>
      <w:bookmarkStart w:id="2" w:name="_GoBack"/>
      <w:bookmarkEnd w:id="2"/>
      <w:r>
        <w:rPr>
          <w:rFonts w:hint="eastAsia" w:ascii="仿宋" w:hAnsi="仿宋" w:eastAsia="仿宋" w:cs="仿宋"/>
          <w:lang w:eastAsia="zh-CN"/>
        </w:rPr>
        <w:t>13号</w:t>
      </w:r>
    </w:p>
    <w:p>
      <w:pPr>
        <w:pStyle w:val="5"/>
        <w:keepNext/>
        <w:keepLines w:val="0"/>
        <w:pageBreakBefore w:val="0"/>
        <w:widowControl w:val="0"/>
        <w:tabs>
          <w:tab w:val="left" w:pos="8964"/>
        </w:tabs>
        <w:kinsoku/>
        <w:wordWrap/>
        <w:overflowPunct/>
        <w:topLinePunct w:val="0"/>
        <w:autoSpaceDE/>
        <w:autoSpaceDN/>
        <w:bidi w:val="0"/>
        <w:spacing w:line="560" w:lineRule="exact"/>
        <w:ind w:left="0" w:firstLine="640" w:firstLineChars="200"/>
        <w:jc w:val="center"/>
        <w:textAlignment w:val="auto"/>
        <w:rPr>
          <w:rFonts w:hint="eastAsia" w:ascii="楷体" w:hAnsi="楷体" w:eastAsia="楷体" w:cs="楷体"/>
          <w:lang w:val="en-US" w:eastAsia="zh-CN"/>
        </w:rPr>
      </w:pPr>
    </w:p>
    <w:p>
      <w:pPr>
        <w:keepNext/>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CESI仿宋-GB2312"/>
          <w:color w:val="000000" w:themeColor="text1"/>
          <w:sz w:val="32"/>
          <w:szCs w:val="32"/>
          <w:lang w:eastAsia="zh-CN"/>
          <w14:textFill>
            <w14:solidFill>
              <w14:schemeClr w14:val="tx1"/>
            </w14:solidFill>
          </w14:textFill>
        </w:rPr>
      </w:pPr>
      <w:r>
        <w:rPr>
          <w:rFonts w:hint="eastAsia" w:ascii="仿宋" w:hAnsi="仿宋" w:eastAsia="仿宋" w:cs="仿宋"/>
          <w:sz w:val="32"/>
          <w:szCs w:val="32"/>
          <w:lang w:eastAsia="zh-CN"/>
        </w:rPr>
        <w:t>当事人</w:t>
      </w:r>
      <w:r>
        <w:rPr>
          <w:rFonts w:hint="eastAsia" w:ascii="仿宋" w:hAnsi="仿宋" w:eastAsia="仿宋" w:cs="仿宋"/>
          <w:sz w:val="24"/>
          <w:szCs w:val="24"/>
          <w:lang w:eastAsia="zh-CN"/>
        </w:rPr>
        <w:t>：</w:t>
      </w:r>
      <w:r>
        <w:rPr>
          <w:rFonts w:hint="eastAsia" w:ascii="仿宋" w:hAnsi="仿宋" w:eastAsia="仿宋" w:cs="CESI仿宋-GB2312"/>
          <w:color w:val="000000" w:themeColor="text1"/>
          <w:sz w:val="32"/>
          <w:szCs w:val="32"/>
          <w:lang w:eastAsia="zh-CN"/>
          <w14:textFill>
            <w14:solidFill>
              <w14:schemeClr w14:val="tx1"/>
            </w14:solidFill>
          </w14:textFill>
        </w:rPr>
        <w:t>厦门年达医疗器械有限公司</w:t>
      </w:r>
    </w:p>
    <w:p>
      <w:pPr>
        <w:keepNext/>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仿宋" w:hAnsi="仿宋" w:eastAsia="仿宋" w:cs="仿宋"/>
          <w:sz w:val="32"/>
          <w:szCs w:val="32"/>
          <w:u w:val="single"/>
          <w:lang w:eastAsia="zh-CN"/>
        </w:rPr>
      </w:pPr>
      <w:r>
        <w:rPr>
          <w:rFonts w:hint="eastAsia" w:ascii="仿宋" w:hAnsi="仿宋" w:eastAsia="仿宋" w:cs="仿宋"/>
          <w:sz w:val="32"/>
          <w:szCs w:val="32"/>
          <w:lang w:eastAsia="zh-CN"/>
        </w:rPr>
        <w:t>主体资格证照名称：营业执照</w:t>
      </w:r>
    </w:p>
    <w:p>
      <w:pPr>
        <w:keepNext/>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仿宋" w:hAnsi="仿宋" w:eastAsia="仿宋" w:cs="仿宋"/>
          <w:color w:val="00000A"/>
          <w:sz w:val="32"/>
          <w:szCs w:val="32"/>
          <w:lang w:eastAsia="zh-CN"/>
        </w:rPr>
      </w:pPr>
      <w:r>
        <w:rPr>
          <w:rFonts w:hint="eastAsia" w:ascii="仿宋" w:hAnsi="仿宋" w:eastAsia="仿宋" w:cs="仿宋"/>
          <w:sz w:val="32"/>
          <w:szCs w:val="32"/>
          <w:lang w:eastAsia="zh-CN"/>
        </w:rPr>
        <w:t>统一社会信用代码：91350211302955072J</w:t>
      </w:r>
    </w:p>
    <w:p>
      <w:pPr>
        <w:keepNext/>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仿宋" w:hAnsi="仿宋" w:eastAsia="仿宋" w:cs="仿宋"/>
          <w:color w:val="FF0000"/>
          <w:sz w:val="32"/>
          <w:szCs w:val="32"/>
          <w:lang w:val="en-US" w:eastAsia="zh-CN"/>
        </w:rPr>
      </w:pPr>
      <w:r>
        <w:rPr>
          <w:rFonts w:hint="eastAsia" w:ascii="仿宋" w:hAnsi="仿宋" w:eastAsia="仿宋" w:cs="仿宋"/>
          <w:sz w:val="32"/>
          <w:szCs w:val="32"/>
          <w:lang w:eastAsia="zh-CN"/>
        </w:rPr>
        <w:t>住所：厦门市同安区洪塘头二里231-3号第二层、第三层</w:t>
      </w:r>
    </w:p>
    <w:p>
      <w:pPr>
        <w:keepNext/>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法定代表人：</w:t>
      </w:r>
      <w:r>
        <w:rPr>
          <w:rFonts w:hint="eastAsia" w:ascii="仿宋" w:hAnsi="仿宋" w:eastAsia="仿宋" w:cs="仿宋"/>
          <w:sz w:val="32"/>
          <w:szCs w:val="32"/>
          <w:lang w:val="en-US" w:eastAsia="zh-CN"/>
        </w:rPr>
        <w:t xml:space="preserve">汪明同        </w:t>
      </w:r>
    </w:p>
    <w:p>
      <w:pPr>
        <w:keepNext/>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lang w:eastAsia="zh-CN"/>
        </w:rPr>
        <w:t>身份证号码：</w:t>
      </w:r>
      <w:r>
        <w:rPr>
          <w:rFonts w:hint="eastAsia" w:ascii="仿宋" w:hAnsi="仿宋" w:eastAsia="仿宋" w:cs="仿宋"/>
          <w:sz w:val="32"/>
          <w:szCs w:val="32"/>
          <w:lang w:val="en-US" w:eastAsia="zh-CN"/>
        </w:rPr>
        <w:t>35</w:t>
      </w:r>
      <w:bookmarkStart w:id="0" w:name="_Hlk176173600"/>
      <w:r>
        <w:rPr>
          <w:rFonts w:ascii="仿宋" w:hAnsi="仿宋" w:eastAsia="仿宋" w:cs="Mongolian Baiti"/>
          <w:kern w:val="0"/>
          <w:sz w:val="32"/>
          <w:szCs w:val="32"/>
        </w:rPr>
        <w:t>********</w:t>
      </w:r>
      <w:bookmarkEnd w:id="0"/>
      <w:r>
        <w:rPr>
          <w:rFonts w:ascii="仿宋" w:hAnsi="仿宋" w:eastAsia="仿宋" w:cs="Mongolian Baiti"/>
          <w:kern w:val="0"/>
          <w:sz w:val="32"/>
          <w:szCs w:val="32"/>
        </w:rPr>
        <w:t>******</w:t>
      </w:r>
      <w:r>
        <w:rPr>
          <w:rFonts w:hint="eastAsia" w:ascii="仿宋" w:hAnsi="仿宋" w:eastAsia="仿宋" w:cs="仿宋"/>
          <w:sz w:val="32"/>
          <w:szCs w:val="32"/>
          <w:lang w:val="en-US" w:eastAsia="zh-CN"/>
        </w:rPr>
        <w:t>14</w:t>
      </w:r>
      <w:r>
        <w:rPr>
          <w:rFonts w:hint="eastAsia" w:ascii="仿宋" w:hAnsi="仿宋" w:eastAsia="仿宋" w:cs="仿宋"/>
          <w:sz w:val="32"/>
          <w:szCs w:val="32"/>
          <w:u w:val="none"/>
          <w:lang w:val="en-US" w:eastAsia="zh-CN"/>
        </w:rPr>
        <w:t xml:space="preserve"> </w:t>
      </w:r>
    </w:p>
    <w:p>
      <w:pPr>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A"/>
          <w:sz w:val="32"/>
          <w:szCs w:val="32"/>
          <w:lang w:val="en-US" w:eastAsia="zh-CN"/>
        </w:rPr>
      </w:pPr>
      <w:r>
        <w:rPr>
          <w:rFonts w:hint="eastAsia" w:ascii="仿宋" w:hAnsi="仿宋" w:eastAsia="仿宋" w:cs="CESI仿宋-GB2312"/>
          <w:sz w:val="32"/>
          <w:szCs w:val="32"/>
          <w:lang w:eastAsia="zh-CN"/>
        </w:rPr>
        <w:t>202</w:t>
      </w:r>
      <w:r>
        <w:rPr>
          <w:rFonts w:hint="eastAsia" w:ascii="仿宋" w:hAnsi="仿宋" w:eastAsia="仿宋" w:cs="CESI仿宋-GB2312"/>
          <w:sz w:val="32"/>
          <w:szCs w:val="32"/>
          <w:lang w:val="en-US" w:eastAsia="zh-CN"/>
        </w:rPr>
        <w:t>4</w:t>
      </w:r>
      <w:r>
        <w:rPr>
          <w:rFonts w:hint="eastAsia" w:ascii="仿宋" w:hAnsi="仿宋" w:eastAsia="仿宋" w:cs="CESI仿宋-GB2312"/>
          <w:sz w:val="32"/>
          <w:szCs w:val="32"/>
          <w:lang w:eastAsia="zh-CN"/>
        </w:rPr>
        <w:t>年</w:t>
      </w:r>
      <w:r>
        <w:rPr>
          <w:rFonts w:hint="eastAsia" w:ascii="仿宋" w:hAnsi="仿宋" w:eastAsia="仿宋" w:cs="CESI仿宋-GB2312"/>
          <w:sz w:val="32"/>
          <w:szCs w:val="32"/>
          <w:lang w:val="en-US" w:eastAsia="zh-CN"/>
        </w:rPr>
        <w:t>3</w:t>
      </w:r>
      <w:r>
        <w:rPr>
          <w:rFonts w:hint="eastAsia" w:ascii="仿宋" w:hAnsi="仿宋" w:eastAsia="仿宋" w:cs="CESI仿宋-GB2312"/>
          <w:sz w:val="32"/>
          <w:szCs w:val="32"/>
          <w:lang w:eastAsia="zh-CN"/>
        </w:rPr>
        <w:t>月</w:t>
      </w:r>
      <w:r>
        <w:rPr>
          <w:rFonts w:hint="eastAsia" w:ascii="仿宋" w:hAnsi="仿宋" w:eastAsia="仿宋" w:cs="CESI仿宋-GB2312"/>
          <w:sz w:val="32"/>
          <w:szCs w:val="32"/>
          <w:lang w:val="en-US" w:eastAsia="zh-CN"/>
        </w:rPr>
        <w:t>27</w:t>
      </w:r>
      <w:r>
        <w:rPr>
          <w:rFonts w:hint="eastAsia" w:ascii="仿宋" w:hAnsi="仿宋" w:eastAsia="仿宋" w:cs="CESI仿宋-GB2312"/>
          <w:sz w:val="32"/>
          <w:szCs w:val="32"/>
          <w:lang w:eastAsia="zh-CN"/>
        </w:rPr>
        <w:t>日，我</w:t>
      </w:r>
      <w:r>
        <w:rPr>
          <w:rFonts w:hint="eastAsia" w:ascii="仿宋" w:hAnsi="仿宋" w:eastAsia="仿宋" w:cs="仿宋"/>
          <w:color w:val="00000A"/>
          <w:sz w:val="32"/>
          <w:szCs w:val="32"/>
          <w:lang w:val="en-US" w:eastAsia="zh-CN"/>
        </w:rPr>
        <w:t>局厦门药品稽查办收到</w:t>
      </w:r>
      <w:r>
        <w:rPr>
          <w:rFonts w:hint="eastAsia" w:ascii="仿宋" w:hAnsi="仿宋" w:eastAsia="仿宋" w:cs="CESI仿宋-GB2312"/>
          <w:sz w:val="32"/>
          <w:szCs w:val="32"/>
          <w:lang w:eastAsia="zh-CN"/>
        </w:rPr>
        <w:t>厦门市公安局</w:t>
      </w:r>
      <w:r>
        <w:rPr>
          <w:rFonts w:hint="eastAsia" w:ascii="仿宋" w:hAnsi="仿宋" w:eastAsia="仿宋" w:cs="CESI仿宋-GB2312"/>
          <w:sz w:val="32"/>
          <w:szCs w:val="32"/>
          <w:lang w:val="en-US" w:eastAsia="zh-CN"/>
        </w:rPr>
        <w:t>新阳派出所</w:t>
      </w:r>
      <w:r>
        <w:rPr>
          <w:rFonts w:hint="eastAsia" w:ascii="仿宋" w:hAnsi="仿宋" w:eastAsia="仿宋" w:cs="仿宋"/>
          <w:color w:val="00000A"/>
          <w:sz w:val="32"/>
          <w:szCs w:val="32"/>
          <w:lang w:val="en-US" w:eastAsia="zh-CN"/>
        </w:rPr>
        <w:t>移送的当事人违法</w:t>
      </w:r>
      <w:r>
        <w:rPr>
          <w:rFonts w:hint="eastAsia" w:ascii="仿宋" w:hAnsi="仿宋" w:eastAsia="仿宋" w:cs="仿宋"/>
          <w:color w:val="00000A"/>
          <w:sz w:val="32"/>
          <w:szCs w:val="32"/>
          <w:lang w:eastAsia="zh-CN"/>
        </w:rPr>
        <w:t>案件</w:t>
      </w:r>
      <w:r>
        <w:rPr>
          <w:rFonts w:hint="eastAsia" w:ascii="仿宋" w:hAnsi="仿宋" w:eastAsia="仿宋" w:cs="仿宋"/>
          <w:color w:val="00000A"/>
          <w:sz w:val="32"/>
          <w:szCs w:val="32"/>
          <w:lang w:val="en-US" w:eastAsia="zh-CN"/>
        </w:rPr>
        <w:t>线索，随即组织现场核查和询问调查。5</w:t>
      </w:r>
      <w:r>
        <w:rPr>
          <w:rFonts w:hint="eastAsia" w:ascii="仿宋" w:hAnsi="仿宋" w:eastAsia="仿宋" w:cs="仿宋"/>
          <w:color w:val="00000A"/>
          <w:sz w:val="32"/>
          <w:szCs w:val="32"/>
          <w:lang w:eastAsia="zh-CN"/>
        </w:rPr>
        <w:t>月</w:t>
      </w:r>
      <w:r>
        <w:rPr>
          <w:rFonts w:hint="eastAsia" w:ascii="仿宋" w:hAnsi="仿宋" w:eastAsia="仿宋" w:cs="仿宋"/>
          <w:color w:val="00000A"/>
          <w:sz w:val="32"/>
          <w:szCs w:val="32"/>
          <w:lang w:val="en-US" w:eastAsia="zh-CN"/>
        </w:rPr>
        <w:t>10</w:t>
      </w:r>
      <w:r>
        <w:rPr>
          <w:rFonts w:hint="eastAsia" w:ascii="仿宋" w:hAnsi="仿宋" w:eastAsia="仿宋" w:cs="仿宋"/>
          <w:color w:val="00000A"/>
          <w:sz w:val="32"/>
          <w:szCs w:val="32"/>
          <w:lang w:eastAsia="zh-CN"/>
        </w:rPr>
        <w:t>日，我</w:t>
      </w:r>
      <w:r>
        <w:rPr>
          <w:rFonts w:hint="eastAsia" w:ascii="仿宋" w:hAnsi="仿宋" w:eastAsia="仿宋" w:cs="仿宋"/>
          <w:color w:val="00000A"/>
          <w:sz w:val="32"/>
          <w:szCs w:val="32"/>
          <w:lang w:val="en-US" w:eastAsia="zh-CN"/>
        </w:rPr>
        <w:t>局</w:t>
      </w:r>
      <w:r>
        <w:rPr>
          <w:rFonts w:hint="eastAsia" w:ascii="仿宋" w:hAnsi="仿宋" w:eastAsia="仿宋" w:cs="仿宋"/>
          <w:color w:val="00000A"/>
          <w:sz w:val="32"/>
          <w:szCs w:val="32"/>
          <w:lang w:eastAsia="zh-CN"/>
        </w:rPr>
        <w:t>予以立案调查，</w:t>
      </w:r>
      <w:r>
        <w:rPr>
          <w:rFonts w:hint="eastAsia" w:ascii="仿宋" w:hAnsi="仿宋" w:eastAsia="仿宋" w:cs="仿宋"/>
          <w:color w:val="00000A"/>
          <w:sz w:val="32"/>
          <w:szCs w:val="32"/>
          <w:lang w:val="en-US" w:eastAsia="zh-CN"/>
        </w:rPr>
        <w:t>并进一步组织询问调查，收集提取相关证据材料。</w:t>
      </w:r>
    </w:p>
    <w:p>
      <w:pPr>
        <w:keepNext/>
        <w:keepLines w:val="0"/>
        <w:pageBreakBefore w:val="0"/>
        <w:widowControl w:val="0"/>
        <w:kinsoku/>
        <w:overflowPunct/>
        <w:topLinePunct w:val="0"/>
        <w:autoSpaceDE/>
        <w:autoSpaceDN/>
        <w:bidi w:val="0"/>
        <w:adjustRightInd/>
        <w:snapToGrid w:val="0"/>
        <w:spacing w:line="540" w:lineRule="exact"/>
        <w:ind w:left="0" w:leftChars="0" w:right="0" w:firstLine="640" w:firstLineChars="200"/>
        <w:jc w:val="both"/>
        <w:textAlignment w:val="auto"/>
        <w:rPr>
          <w:rFonts w:hint="eastAsia" w:ascii="仿宋" w:hAnsi="仿宋" w:eastAsia="仿宋" w:cs="CESI仿宋-GB2312"/>
          <w:sz w:val="32"/>
          <w:szCs w:val="32"/>
          <w:lang w:val="en-US" w:eastAsia="zh-CN"/>
        </w:rPr>
      </w:pPr>
      <w:r>
        <w:rPr>
          <w:rFonts w:hint="eastAsia" w:ascii="仿宋" w:hAnsi="仿宋" w:eastAsia="仿宋" w:cs="仿宋"/>
          <w:color w:val="00000A"/>
          <w:sz w:val="32"/>
          <w:szCs w:val="32"/>
          <w:lang w:eastAsia="zh-CN"/>
        </w:rPr>
        <w:t>经查，</w:t>
      </w:r>
      <w:r>
        <w:rPr>
          <w:rFonts w:hint="eastAsia" w:ascii="仿宋" w:hAnsi="仿宋" w:eastAsia="仿宋" w:cs="CESI仿宋-GB2312"/>
          <w:sz w:val="32"/>
          <w:szCs w:val="32"/>
          <w:lang w:val="en-US" w:eastAsia="zh-CN"/>
        </w:rPr>
        <w:t>当事人在知悉租赁方未取得定制式固定义齿《医疗器械注册证》和相应生产许可的情况下，仍</w:t>
      </w:r>
      <w:r>
        <w:rPr>
          <w:rFonts w:hint="eastAsia" w:ascii="仿宋" w:hAnsi="仿宋" w:eastAsia="仿宋" w:cs="CESI仿宋-GB2312"/>
          <w:sz w:val="32"/>
          <w:szCs w:val="32"/>
          <w:lang w:eastAsia="zh-CN"/>
        </w:rPr>
        <w:t>将位于厦门市海沧区诗山北路</w:t>
      </w:r>
      <w:r>
        <w:rPr>
          <w:rFonts w:hint="eastAsia" w:ascii="仿宋" w:hAnsi="仿宋" w:eastAsia="仿宋" w:cs="CESI仿宋-GB2312"/>
          <w:sz w:val="32"/>
          <w:szCs w:val="32"/>
          <w:lang w:val="en-US" w:eastAsia="zh-CN"/>
        </w:rPr>
        <w:t>11-2号501室厂房内一定数量的定制式固定义齿生产工位（配备了通用的空压机、吸尘器等生产设备）、1间存放原材料的独立库房等生产场所出租用于无证生产定制式固定义齿，在2021年12月至2022年4月合作期间，共取得24万元租金。</w:t>
      </w:r>
    </w:p>
    <w:p>
      <w:pPr>
        <w:keepNext/>
        <w:keepLines w:val="0"/>
        <w:pageBreakBefore w:val="0"/>
        <w:widowControl w:val="0"/>
        <w:kinsoku/>
        <w:overflowPunct/>
        <w:topLinePunct w:val="0"/>
        <w:autoSpaceDE/>
        <w:autoSpaceDN/>
        <w:bidi w:val="0"/>
        <w:adjustRightInd/>
        <w:snapToGrid w:val="0"/>
        <w:spacing w:line="540" w:lineRule="exact"/>
        <w:ind w:left="0" w:leftChars="0" w:right="0" w:firstLine="640" w:firstLineChars="200"/>
        <w:jc w:val="both"/>
        <w:textAlignment w:val="auto"/>
        <w:rPr>
          <w:rFonts w:hint="eastAsia" w:ascii="仿宋" w:hAnsi="仿宋" w:eastAsia="仿宋" w:cs="CESI仿宋-GB2312"/>
          <w:sz w:val="32"/>
          <w:szCs w:val="32"/>
          <w:lang w:val="en-US" w:eastAsia="zh-CN"/>
        </w:rPr>
      </w:pPr>
      <w:r>
        <w:rPr>
          <w:rFonts w:hint="eastAsia" w:ascii="仿宋" w:hAnsi="仿宋" w:eastAsia="仿宋" w:cs="CESI仿宋-GB2312"/>
          <w:sz w:val="32"/>
          <w:szCs w:val="32"/>
          <w:lang w:val="en-US" w:eastAsia="zh-CN"/>
        </w:rPr>
        <w:t>纪瓷美（厦门）医疗器械有限公司（以下简称纪瓷美）使用上述生产场所，组织自行招聘的生产操作人员，利用自行配备的烤瓷炉、切削机、扫描仪等生产设备，使用自行采购的原材料，通过灌模修模、扫描设计、排版切削、染色烧结、上瓷车瓷、上釉抛光等生产工序，完成了定制式固定义齿半成品的生产。随后，纪瓷美将定制式固定义齿放置于专用盒内，连同患者牙模和标注有患者姓名、牙位、加工要求、医疗机构等信息的加工单放在密封袋里，交由其位于厦门市海沧区后祥西路35号的纪瓷美厂房收发组工作人员统一进行消毒，统一打印质保卡、出货单，最后通过快递邮寄给客户。涉案产品所使用的专用盒、加工单和质保卡均未标注生产企业名称、生产地址、医疗器械生产许可证、医疗器械注册证等信息。经查，在上述合作期间，纪瓷美使用当事人提供的生产场所生产定制式固定义齿共计690颗，销售金额72200元。该销售款项应认定为涉案产品的货值金额，上述24万元租金应认定为当事人违法所得。</w:t>
      </w:r>
    </w:p>
    <w:p>
      <w:pPr>
        <w:keepNext/>
        <w:keepLines w:val="0"/>
        <w:pageBreakBefore w:val="0"/>
        <w:widowControl w:val="0"/>
        <w:kinsoku/>
        <w:overflowPunct/>
        <w:topLinePunct w:val="0"/>
        <w:autoSpaceDE/>
        <w:autoSpaceDN/>
        <w:bidi w:val="0"/>
        <w:adjustRightInd/>
        <w:snapToGrid w:val="0"/>
        <w:spacing w:line="540" w:lineRule="exact"/>
        <w:ind w:left="0" w:leftChars="0" w:right="0" w:firstLine="640" w:firstLineChars="200"/>
        <w:jc w:val="both"/>
        <w:textAlignment w:val="auto"/>
        <w:rPr>
          <w:rFonts w:hint="eastAsia" w:ascii="仿宋" w:hAnsi="仿宋" w:eastAsia="仿宋" w:cs="CESI仿宋-GB2312"/>
          <w:sz w:val="32"/>
          <w:szCs w:val="32"/>
          <w:lang w:val="en-US" w:eastAsia="zh-CN"/>
        </w:rPr>
      </w:pPr>
      <w:r>
        <w:rPr>
          <w:rFonts w:hint="eastAsia" w:ascii="仿宋" w:hAnsi="仿宋" w:eastAsia="仿宋" w:cs="CESI仿宋-GB2312"/>
          <w:sz w:val="32"/>
          <w:szCs w:val="32"/>
          <w:lang w:val="en-US" w:eastAsia="zh-CN"/>
        </w:rPr>
        <w:t>在双方合作期间，当事人未向壹角兽（厦门）医疗科技有限公司（以下简称壹角兽）或者纪瓷美提供持有的《营业执照》《医疗器械生产许可证》、所注册产品《医疗器械注册证》，未提供生产操作人员、原材料和和包装材料，未参与纪瓷美的现场生产管理，也未参与涉案产品销售活动，且涉案产品均未标注当事人信息内容。</w:t>
      </w:r>
    </w:p>
    <w:p>
      <w:pPr>
        <w:keepNext/>
        <w:keepLines w:val="0"/>
        <w:pageBreakBefore w:val="0"/>
        <w:widowControl/>
        <w:numPr>
          <w:ilvl w:val="0"/>
          <w:numId w:val="0"/>
        </w:numPr>
        <w:kinsoku/>
        <w:wordWrap w:val="0"/>
        <w:overflowPunct/>
        <w:topLinePunct/>
        <w:autoSpaceDE/>
        <w:autoSpaceDN/>
        <w:bidi w:val="0"/>
        <w:adjustRightInd/>
        <w:spacing w:line="540" w:lineRule="exact"/>
        <w:ind w:right="0" w:rightChars="0" w:firstLine="640" w:firstLineChars="200"/>
        <w:jc w:val="both"/>
        <w:textAlignment w:val="auto"/>
        <w:rPr>
          <w:rFonts w:hint="eastAsia" w:ascii="仿宋" w:hAnsi="Times New Roman" w:eastAsia="仿宋" w:cs="Times New Roman"/>
          <w:sz w:val="32"/>
          <w:szCs w:val="32"/>
          <w:u w:val="single"/>
          <w:lang w:val="en-US" w:eastAsia="zh-CN"/>
        </w:rPr>
      </w:pPr>
      <w:r>
        <w:rPr>
          <w:rFonts w:hint="eastAsia" w:ascii="仿宋" w:hAnsi="仿宋" w:eastAsia="仿宋" w:cs="CESI仿宋-GB2312"/>
          <w:sz w:val="32"/>
          <w:szCs w:val="32"/>
          <w:lang w:val="en-US" w:eastAsia="zh-CN"/>
        </w:rPr>
        <w:t>此外，当事人在出租生产场所期间，出租的工位数量最多达到30个，约占总工位数77%，而根据《医疗器械生产质量管理规范定制式义齿现场检查指导原则》，结合调查取证情况，当事人存在4条缺陷（其中，一般缺陷3条，严重缺陷1条），具体如下：</w:t>
      </w:r>
    </w:p>
    <w:p>
      <w:pPr>
        <w:keepNext/>
        <w:keepLines w:val="0"/>
        <w:pageBreakBefore w:val="0"/>
        <w:widowControl/>
        <w:numPr>
          <w:ilvl w:val="0"/>
          <w:numId w:val="0"/>
        </w:numPr>
        <w:kinsoku/>
        <w:wordWrap w:val="0"/>
        <w:overflowPunct/>
        <w:topLinePunct/>
        <w:autoSpaceDE/>
        <w:autoSpaceDN/>
        <w:bidi w:val="0"/>
        <w:adjustRightInd/>
        <w:spacing w:line="540" w:lineRule="exact"/>
        <w:ind w:right="0" w:rightChars="0" w:firstLine="640" w:firstLineChars="200"/>
        <w:jc w:val="both"/>
        <w:textAlignment w:val="auto"/>
        <w:rPr>
          <w:rFonts w:hint="default" w:ascii="仿宋" w:hAnsi="仿宋" w:eastAsia="仿宋" w:cs="CESI仿宋-GB2312"/>
          <w:sz w:val="32"/>
          <w:szCs w:val="32"/>
          <w:lang w:val="en-US" w:eastAsia="zh-CN"/>
        </w:rPr>
      </w:pPr>
      <w:r>
        <w:rPr>
          <w:rFonts w:hint="eastAsia" w:ascii="仿宋" w:hAnsi="仿宋" w:eastAsia="仿宋" w:cs="CESI仿宋-GB2312"/>
          <w:sz w:val="32"/>
          <w:szCs w:val="32"/>
          <w:lang w:val="en-US" w:eastAsia="zh-CN"/>
        </w:rPr>
        <w:t>1.当事人未对纪瓷美生产岗位人员进行岗前培训，未确认相关人员掌握岗位的技术和操作要求的能力，无法有效防止人员误操作导致生产偏差的情况产生。（1.6.1）</w:t>
      </w:r>
    </w:p>
    <w:p>
      <w:pPr>
        <w:keepNext/>
        <w:keepLines w:val="0"/>
        <w:pageBreakBefore w:val="0"/>
        <w:widowControl/>
        <w:numPr>
          <w:ilvl w:val="0"/>
          <w:numId w:val="0"/>
        </w:numPr>
        <w:kinsoku/>
        <w:wordWrap w:val="0"/>
        <w:overflowPunct/>
        <w:topLinePunct/>
        <w:autoSpaceDE/>
        <w:autoSpaceDN/>
        <w:bidi w:val="0"/>
        <w:adjustRightInd/>
        <w:spacing w:line="540" w:lineRule="exact"/>
        <w:ind w:right="0" w:rightChars="0" w:firstLine="640" w:firstLineChars="200"/>
        <w:jc w:val="both"/>
        <w:textAlignment w:val="auto"/>
        <w:rPr>
          <w:rFonts w:hint="eastAsia" w:ascii="仿宋" w:hAnsi="仿宋" w:eastAsia="仿宋" w:cs="CESI仿宋-GB2312"/>
          <w:sz w:val="32"/>
          <w:szCs w:val="32"/>
          <w:lang w:val="en-US" w:eastAsia="zh-CN"/>
        </w:rPr>
      </w:pPr>
      <w:r>
        <w:rPr>
          <w:rFonts w:hint="eastAsia" w:ascii="仿宋" w:hAnsi="仿宋" w:eastAsia="仿宋" w:cs="CESI仿宋-GB2312"/>
          <w:sz w:val="32"/>
          <w:szCs w:val="32"/>
          <w:lang w:val="en-US" w:eastAsia="zh-CN"/>
        </w:rPr>
        <w:t>2.当事人未掌握纪瓷美生产岗位人员健康状态，存在纪瓷美生产岗位人员的健康隐患造成污染产品的风险。（1.8.1）</w:t>
      </w:r>
    </w:p>
    <w:p>
      <w:pPr>
        <w:keepNext/>
        <w:keepLines w:val="0"/>
        <w:pageBreakBefore w:val="0"/>
        <w:widowControl/>
        <w:numPr>
          <w:ilvl w:val="0"/>
          <w:numId w:val="0"/>
        </w:numPr>
        <w:kinsoku/>
        <w:wordWrap w:val="0"/>
        <w:overflowPunct/>
        <w:topLinePunct/>
        <w:autoSpaceDE/>
        <w:autoSpaceDN/>
        <w:bidi w:val="0"/>
        <w:adjustRightInd/>
        <w:spacing w:line="540" w:lineRule="exact"/>
        <w:ind w:right="0" w:rightChars="0" w:firstLine="640" w:firstLineChars="200"/>
        <w:jc w:val="both"/>
        <w:textAlignment w:val="auto"/>
        <w:rPr>
          <w:rFonts w:hint="default" w:ascii="仿宋" w:hAnsi="仿宋" w:eastAsia="仿宋" w:cs="CESI仿宋-GB2312"/>
          <w:sz w:val="32"/>
          <w:szCs w:val="32"/>
          <w:lang w:val="en-US" w:eastAsia="zh-CN"/>
        </w:rPr>
      </w:pPr>
      <w:r>
        <w:rPr>
          <w:rFonts w:hint="eastAsia" w:ascii="仿宋" w:hAnsi="仿宋" w:eastAsia="仿宋" w:cs="CESI仿宋-GB2312"/>
          <w:sz w:val="32"/>
          <w:szCs w:val="32"/>
          <w:lang w:val="en-US" w:eastAsia="zh-CN"/>
        </w:rPr>
        <w:t>3.当事人未对纪瓷美提供的烤瓷炉、切削机、扫描仪等生产设备进行确认，未建立相关设备的使用、清洁、维护和维修操作规程，未能确保相关设备有效运行、符合预期使用要求。（*3.1.1）</w:t>
      </w:r>
    </w:p>
    <w:p>
      <w:pPr>
        <w:keepNext/>
        <w:keepLines w:val="0"/>
        <w:pageBreakBefore w:val="0"/>
        <w:widowControl/>
        <w:numPr>
          <w:ilvl w:val="0"/>
          <w:numId w:val="0"/>
        </w:numPr>
        <w:kinsoku/>
        <w:wordWrap w:val="0"/>
        <w:overflowPunct/>
        <w:topLinePunct/>
        <w:autoSpaceDE/>
        <w:autoSpaceDN/>
        <w:bidi w:val="0"/>
        <w:adjustRightInd/>
        <w:spacing w:line="540" w:lineRule="exact"/>
        <w:ind w:right="0" w:rightChars="0" w:firstLine="640" w:firstLineChars="200"/>
        <w:jc w:val="both"/>
        <w:textAlignment w:val="auto"/>
        <w:rPr>
          <w:rFonts w:hint="default" w:ascii="仿宋" w:hAnsi="仿宋" w:eastAsia="仿宋" w:cs="CESI仿宋-GB2312"/>
          <w:sz w:val="32"/>
          <w:szCs w:val="32"/>
          <w:lang w:val="en-US" w:eastAsia="zh-CN"/>
        </w:rPr>
      </w:pPr>
      <w:r>
        <w:rPr>
          <w:rFonts w:hint="eastAsia" w:ascii="仿宋" w:hAnsi="仿宋" w:eastAsia="仿宋" w:cs="CESI仿宋-GB2312"/>
          <w:sz w:val="32"/>
          <w:szCs w:val="32"/>
          <w:lang w:val="en-US" w:eastAsia="zh-CN"/>
        </w:rPr>
        <w:t>4.当事人未做好出租生产工位的物理隔断或产品标识，且与纪瓷美共线生产，存在误操作、产品混淆等产品质量风险。（7.10.1）</w:t>
      </w:r>
    </w:p>
    <w:p>
      <w:pPr>
        <w:pStyle w:val="5"/>
        <w:keepNext/>
        <w:keepLines w:val="0"/>
        <w:pageBreakBefore w:val="0"/>
        <w:widowControl w:val="0"/>
        <w:tabs>
          <w:tab w:val="left" w:pos="8964"/>
        </w:tabs>
        <w:kinsoku/>
        <w:wordWrap/>
        <w:overflowPunct/>
        <w:topLinePunct w:val="0"/>
        <w:autoSpaceDE/>
        <w:autoSpaceDN/>
        <w:bidi w:val="0"/>
        <w:spacing w:line="560" w:lineRule="exact"/>
        <w:ind w:left="0" w:firstLine="640" w:firstLineChars="200"/>
        <w:jc w:val="both"/>
        <w:textAlignment w:val="auto"/>
        <w:rPr>
          <w:rFonts w:hint="eastAsia" w:ascii="仿宋" w:hAnsi="仿宋" w:eastAsia="仿宋" w:cs="仿宋"/>
          <w:bCs/>
          <w:sz w:val="32"/>
          <w:szCs w:val="32"/>
          <w:lang w:val="en-US" w:eastAsia="zh-CN" w:bidi="ar-SA"/>
        </w:rPr>
      </w:pPr>
      <w:r>
        <w:rPr>
          <w:rFonts w:hint="eastAsia" w:ascii="仿宋" w:hAnsi="仿宋" w:eastAsia="仿宋" w:cs="CESI仿宋-GB2312"/>
          <w:sz w:val="32"/>
          <w:szCs w:val="32"/>
          <w:lang w:val="en-US" w:eastAsia="zh-CN"/>
        </w:rPr>
        <w:t>综上，当事人的生产条件发生了较大变化，不再符合医疗器械质量管理体系要求，可能影响生产的定制式固定义齿的安全性、有效性。而根据当事人提交的2021、2022年度质量管理体系自查报告，未报告出租生产场所并因此导致的生产条件发生变化的情况，未按规定整改，未有停产情况的内容。</w:t>
      </w:r>
    </w:p>
    <w:p>
      <w:pPr>
        <w:keepNext/>
        <w:keepLines w:val="0"/>
        <w:pageBreakBefore w:val="0"/>
        <w:widowControl w:val="0"/>
        <w:kinsoku/>
        <w:wordWrap/>
        <w:overflowPunct/>
        <w:topLinePunct w:val="0"/>
        <w:autoSpaceDE/>
        <w:autoSpaceDN/>
        <w:bidi w:val="0"/>
        <w:adjustRightInd w:val="0"/>
        <w:snapToGrid w:val="0"/>
        <w:spacing w:line="560" w:lineRule="exact"/>
        <w:ind w:firstLine="596" w:firstLineChars="200"/>
        <w:jc w:val="both"/>
        <w:textAlignment w:val="auto"/>
        <w:rPr>
          <w:rFonts w:hint="eastAsia" w:ascii="黑体" w:hAnsi="黑体" w:eastAsia="黑体" w:cs="黑体"/>
          <w:color w:val="231F20"/>
          <w:spacing w:val="-11"/>
          <w:sz w:val="32"/>
          <w:szCs w:val="32"/>
          <w:lang w:eastAsia="zh-CN"/>
        </w:rPr>
      </w:pPr>
      <w:r>
        <w:rPr>
          <w:rFonts w:hint="eastAsia" w:ascii="黑体" w:hAnsi="黑体" w:eastAsia="黑体" w:cs="黑体"/>
          <w:color w:val="231F20"/>
          <w:spacing w:val="-11"/>
          <w:sz w:val="32"/>
          <w:szCs w:val="32"/>
          <w:lang w:eastAsia="zh-CN"/>
        </w:rPr>
        <w:t>上述事实，主要有以下证据证明：</w:t>
      </w:r>
    </w:p>
    <w:p>
      <w:pPr>
        <w:keepNext/>
        <w:keepLines w:val="0"/>
        <w:pageBreakBefore w:val="0"/>
        <w:widowControl/>
        <w:kinsoku/>
        <w:wordWrap w:val="0"/>
        <w:overflowPunct/>
        <w:topLinePunct/>
        <w:autoSpaceDE/>
        <w:autoSpaceDN/>
        <w:bidi w:val="0"/>
        <w:adjustRightInd/>
        <w:snapToGrid/>
        <w:spacing w:line="560" w:lineRule="exact"/>
        <w:ind w:left="0" w:leftChars="0" w:right="0" w:firstLine="640" w:firstLineChars="200"/>
        <w:jc w:val="both"/>
        <w:textAlignment w:val="auto"/>
        <w:rPr>
          <w:rFonts w:ascii="仿宋" w:hAnsi="仿宋" w:eastAsia="仿宋" w:cs="CESI仿宋-GB2312"/>
          <w:sz w:val="32"/>
          <w:szCs w:val="32"/>
          <w:lang w:eastAsia="zh-CN"/>
        </w:rPr>
      </w:pPr>
      <w:r>
        <w:rPr>
          <w:rFonts w:hint="eastAsia" w:ascii="仿宋" w:hAnsi="仿宋" w:eastAsia="仿宋" w:cs="CESI仿宋-GB2312"/>
          <w:sz w:val="32"/>
          <w:szCs w:val="32"/>
          <w:lang w:eastAsia="zh-CN"/>
        </w:rPr>
        <w:t>1.厦门市公安局新阳派出所《线索移送函》1份，证明违法线索来源；</w:t>
      </w:r>
    </w:p>
    <w:p>
      <w:pPr>
        <w:keepNext/>
        <w:keepLines w:val="0"/>
        <w:pageBreakBefore w:val="0"/>
        <w:widowControl/>
        <w:kinsoku/>
        <w:wordWrap w:val="0"/>
        <w:overflowPunct/>
        <w:topLinePunct/>
        <w:autoSpaceDE/>
        <w:autoSpaceDN/>
        <w:bidi w:val="0"/>
        <w:adjustRightInd/>
        <w:snapToGrid/>
        <w:spacing w:line="560" w:lineRule="exact"/>
        <w:ind w:left="0" w:leftChars="0" w:right="0" w:firstLine="640" w:firstLineChars="200"/>
        <w:jc w:val="both"/>
        <w:textAlignment w:val="auto"/>
        <w:rPr>
          <w:rFonts w:hint="default" w:ascii="仿宋" w:hAnsi="仿宋" w:eastAsia="仿宋" w:cs="CESI仿宋-GB2312"/>
          <w:sz w:val="32"/>
          <w:szCs w:val="32"/>
          <w:lang w:val="en-US" w:eastAsia="zh-CN"/>
        </w:rPr>
      </w:pPr>
      <w:r>
        <w:rPr>
          <w:rFonts w:hint="eastAsia" w:ascii="仿宋" w:hAnsi="仿宋" w:eastAsia="仿宋" w:cs="CESI仿宋-GB2312"/>
          <w:sz w:val="32"/>
          <w:szCs w:val="32"/>
          <w:lang w:val="en-US" w:eastAsia="zh-CN"/>
        </w:rPr>
        <w:t>2.对当事人的现场检查笔录原件和当事人的账户历史明细、账户交易明细等复印件各1份</w:t>
      </w:r>
      <w:r>
        <w:rPr>
          <w:rFonts w:hint="eastAsia" w:ascii="仿宋" w:hAnsi="仿宋" w:eastAsia="仿宋" w:cs="CESI仿宋-GB2312"/>
          <w:sz w:val="32"/>
          <w:szCs w:val="32"/>
          <w:lang w:eastAsia="zh-CN"/>
        </w:rPr>
        <w:t>，证明当事人与</w:t>
      </w:r>
      <w:r>
        <w:rPr>
          <w:rFonts w:hint="eastAsia" w:ascii="仿宋" w:hAnsi="仿宋" w:eastAsia="仿宋" w:cs="CESI仿宋-GB2312"/>
          <w:sz w:val="32"/>
          <w:szCs w:val="32"/>
          <w:lang w:val="en-US" w:eastAsia="zh-CN"/>
        </w:rPr>
        <w:t>壹角兽资金往来情况；</w:t>
      </w:r>
    </w:p>
    <w:p>
      <w:pPr>
        <w:keepNext/>
        <w:keepLines w:val="0"/>
        <w:pageBreakBefore w:val="0"/>
        <w:widowControl/>
        <w:kinsoku/>
        <w:wordWrap w:val="0"/>
        <w:overflowPunct/>
        <w:topLinePunct/>
        <w:autoSpaceDE/>
        <w:autoSpaceDN/>
        <w:bidi w:val="0"/>
        <w:adjustRightInd/>
        <w:snapToGrid/>
        <w:spacing w:line="560" w:lineRule="exact"/>
        <w:ind w:left="0" w:leftChars="0" w:right="0" w:firstLine="640" w:firstLineChars="200"/>
        <w:jc w:val="both"/>
        <w:textAlignment w:val="auto"/>
        <w:rPr>
          <w:rFonts w:hint="eastAsia" w:ascii="仿宋" w:hAnsi="仿宋" w:eastAsia="仿宋" w:cs="CESI仿宋-GB2312"/>
          <w:sz w:val="32"/>
          <w:szCs w:val="32"/>
          <w:lang w:eastAsia="zh-CN"/>
        </w:rPr>
      </w:pPr>
      <w:r>
        <w:rPr>
          <w:rFonts w:hint="eastAsia" w:ascii="仿宋" w:hAnsi="仿宋" w:eastAsia="仿宋" w:cs="CESI仿宋-GB2312"/>
          <w:sz w:val="32"/>
          <w:szCs w:val="32"/>
          <w:lang w:val="en-US" w:eastAsia="zh-CN"/>
        </w:rPr>
        <w:t>3.</w:t>
      </w:r>
      <w:r>
        <w:rPr>
          <w:rFonts w:hint="eastAsia" w:ascii="仿宋" w:hAnsi="仿宋" w:eastAsia="仿宋" w:cs="CESI仿宋-GB2312"/>
          <w:sz w:val="32"/>
          <w:szCs w:val="32"/>
          <w:lang w:eastAsia="zh-CN"/>
        </w:rPr>
        <w:t>蔡</w:t>
      </w:r>
      <w:r>
        <w:rPr>
          <w:rFonts w:ascii="仿宋" w:hAnsi="仿宋" w:eastAsia="仿宋" w:cs="仿宋"/>
          <w:kern w:val="0"/>
          <w:sz w:val="32"/>
          <w:szCs w:val="32"/>
        </w:rPr>
        <w:t>**</w:t>
      </w:r>
      <w:r>
        <w:rPr>
          <w:rFonts w:hint="eastAsia" w:ascii="仿宋" w:hAnsi="仿宋" w:eastAsia="仿宋" w:cs="CESI仿宋-GB2312"/>
          <w:sz w:val="32"/>
          <w:szCs w:val="32"/>
          <w:lang w:eastAsia="zh-CN"/>
        </w:rPr>
        <w:t>与徐</w:t>
      </w:r>
      <w:r>
        <w:rPr>
          <w:rFonts w:ascii="仿宋" w:hAnsi="仿宋" w:eastAsia="仿宋" w:cs="仿宋"/>
          <w:kern w:val="0"/>
          <w:sz w:val="32"/>
          <w:szCs w:val="32"/>
        </w:rPr>
        <w:t>*</w:t>
      </w:r>
      <w:r>
        <w:rPr>
          <w:rFonts w:hint="eastAsia" w:ascii="仿宋" w:hAnsi="仿宋" w:eastAsia="仿宋" w:cs="CESI仿宋-GB2312"/>
          <w:sz w:val="32"/>
          <w:szCs w:val="32"/>
          <w:lang w:eastAsia="zh-CN"/>
        </w:rPr>
        <w:t>微信聊天记录、蔡</w:t>
      </w:r>
      <w:r>
        <w:rPr>
          <w:rFonts w:ascii="仿宋" w:hAnsi="仿宋" w:eastAsia="仿宋" w:cs="仿宋"/>
          <w:kern w:val="0"/>
          <w:sz w:val="32"/>
          <w:szCs w:val="32"/>
        </w:rPr>
        <w:t>**</w:t>
      </w:r>
      <w:r>
        <w:rPr>
          <w:rFonts w:hint="eastAsia" w:ascii="仿宋" w:hAnsi="仿宋" w:eastAsia="仿宋" w:cs="CESI仿宋-GB2312"/>
          <w:sz w:val="32"/>
          <w:szCs w:val="32"/>
          <w:lang w:eastAsia="zh-CN"/>
        </w:rPr>
        <w:t>、陈</w:t>
      </w:r>
      <w:r>
        <w:rPr>
          <w:rFonts w:ascii="仿宋" w:hAnsi="仿宋" w:eastAsia="仿宋" w:cs="仿宋"/>
          <w:kern w:val="0"/>
          <w:sz w:val="32"/>
          <w:szCs w:val="32"/>
        </w:rPr>
        <w:t>**</w:t>
      </w:r>
      <w:r>
        <w:rPr>
          <w:rFonts w:hint="eastAsia" w:ascii="仿宋" w:hAnsi="仿宋" w:eastAsia="仿宋" w:cs="CESI仿宋-GB2312"/>
          <w:sz w:val="32"/>
          <w:szCs w:val="32"/>
          <w:lang w:eastAsia="zh-CN"/>
        </w:rPr>
        <w:t>接受公安机关询问笔录、徐</w:t>
      </w:r>
      <w:r>
        <w:rPr>
          <w:rFonts w:ascii="仿宋" w:hAnsi="仿宋" w:eastAsia="仿宋" w:cs="仿宋"/>
          <w:kern w:val="0"/>
          <w:sz w:val="32"/>
          <w:szCs w:val="32"/>
        </w:rPr>
        <w:t>*</w:t>
      </w:r>
      <w:r>
        <w:rPr>
          <w:rFonts w:hint="eastAsia" w:ascii="仿宋" w:hAnsi="仿宋" w:eastAsia="仿宋" w:cs="CESI仿宋-GB2312"/>
          <w:sz w:val="32"/>
          <w:szCs w:val="32"/>
          <w:lang w:eastAsia="zh-CN"/>
        </w:rPr>
        <w:t>接受公安机关讯问笔录、《经销服务合同》各</w:t>
      </w:r>
      <w:r>
        <w:rPr>
          <w:rFonts w:hint="eastAsia" w:ascii="仿宋" w:hAnsi="仿宋" w:eastAsia="仿宋" w:cs="CESI仿宋-GB2312"/>
          <w:sz w:val="32"/>
          <w:szCs w:val="32"/>
          <w:lang w:val="en-US" w:eastAsia="zh-CN"/>
        </w:rPr>
        <w:t>1份</w:t>
      </w:r>
      <w:r>
        <w:rPr>
          <w:rFonts w:hint="eastAsia" w:ascii="仿宋" w:hAnsi="仿宋" w:eastAsia="仿宋" w:cs="CESI仿宋-GB2312"/>
          <w:sz w:val="32"/>
          <w:szCs w:val="32"/>
          <w:lang w:eastAsia="zh-CN"/>
        </w:rPr>
        <w:t>，</w:t>
      </w:r>
      <w:r>
        <w:rPr>
          <w:rFonts w:hint="eastAsia" w:ascii="仿宋" w:hAnsi="仿宋" w:eastAsia="仿宋" w:cs="CESI仿宋-GB2312"/>
          <w:sz w:val="32"/>
          <w:szCs w:val="32"/>
          <w:lang w:val="en-US" w:eastAsia="zh-CN"/>
        </w:rPr>
        <w:t>证明当事人明知对方未取得医疗器械生产资质仍通过签订</w:t>
      </w:r>
      <w:r>
        <w:rPr>
          <w:rFonts w:hint="eastAsia" w:ascii="仿宋" w:hAnsi="仿宋" w:eastAsia="仿宋" w:cs="CESI仿宋-GB2312"/>
          <w:sz w:val="32"/>
          <w:szCs w:val="32"/>
          <w:lang w:eastAsia="zh-CN"/>
        </w:rPr>
        <w:t>经销服务合同的方式将部分生产工位出租给</w:t>
      </w:r>
      <w:r>
        <w:rPr>
          <w:rFonts w:hint="eastAsia" w:ascii="仿宋" w:hAnsi="仿宋" w:eastAsia="仿宋" w:cs="CESI仿宋-GB2312"/>
          <w:sz w:val="32"/>
          <w:szCs w:val="32"/>
          <w:lang w:val="en-US" w:eastAsia="zh-CN"/>
        </w:rPr>
        <w:t>壹角兽用于生产定制式固定义齿</w:t>
      </w:r>
      <w:r>
        <w:rPr>
          <w:rFonts w:hint="eastAsia" w:ascii="仿宋" w:hAnsi="仿宋" w:eastAsia="仿宋" w:cs="CESI仿宋-GB2312"/>
          <w:sz w:val="32"/>
          <w:szCs w:val="32"/>
          <w:lang w:eastAsia="zh-CN"/>
        </w:rPr>
        <w:t>；</w:t>
      </w:r>
    </w:p>
    <w:p>
      <w:pPr>
        <w:keepNext/>
        <w:keepLines w:val="0"/>
        <w:pageBreakBefore w:val="0"/>
        <w:widowControl/>
        <w:kinsoku/>
        <w:wordWrap w:val="0"/>
        <w:overflowPunct/>
        <w:topLinePunct/>
        <w:autoSpaceDE/>
        <w:autoSpaceDN/>
        <w:bidi w:val="0"/>
        <w:adjustRightInd/>
        <w:snapToGrid/>
        <w:spacing w:line="560" w:lineRule="exact"/>
        <w:ind w:left="0" w:leftChars="0" w:right="0" w:firstLine="640" w:firstLineChars="200"/>
        <w:jc w:val="both"/>
        <w:textAlignment w:val="auto"/>
        <w:rPr>
          <w:rFonts w:hint="eastAsia" w:ascii="仿宋" w:hAnsi="仿宋" w:eastAsia="仿宋" w:cs="CESI仿宋-GB2312"/>
          <w:sz w:val="32"/>
          <w:szCs w:val="32"/>
          <w:lang w:eastAsia="zh-CN"/>
        </w:rPr>
      </w:pPr>
      <w:r>
        <w:rPr>
          <w:rFonts w:hint="eastAsia" w:ascii="仿宋" w:hAnsi="仿宋" w:eastAsia="仿宋" w:cs="CESI仿宋-GB2312"/>
          <w:sz w:val="32"/>
          <w:szCs w:val="32"/>
          <w:lang w:val="en-US" w:eastAsia="zh-CN"/>
        </w:rPr>
        <w:t>4.</w:t>
      </w:r>
      <w:r>
        <w:rPr>
          <w:rFonts w:hint="eastAsia" w:ascii="仿宋" w:hAnsi="仿宋" w:eastAsia="仿宋" w:cs="CESI仿宋-GB2312"/>
          <w:sz w:val="32"/>
          <w:szCs w:val="32"/>
          <w:lang w:eastAsia="zh-CN"/>
        </w:rPr>
        <w:t>蔡</w:t>
      </w:r>
      <w:r>
        <w:rPr>
          <w:rFonts w:ascii="仿宋" w:hAnsi="仿宋" w:eastAsia="仿宋" w:cs="仿宋"/>
          <w:kern w:val="0"/>
          <w:sz w:val="32"/>
          <w:szCs w:val="32"/>
        </w:rPr>
        <w:t>**</w:t>
      </w:r>
      <w:r>
        <w:rPr>
          <w:rFonts w:hint="eastAsia" w:ascii="仿宋" w:hAnsi="仿宋" w:eastAsia="仿宋" w:cs="CESI仿宋-GB2312"/>
          <w:sz w:val="32"/>
          <w:szCs w:val="32"/>
          <w:lang w:eastAsia="zh-CN"/>
        </w:rPr>
        <w:t>、</w:t>
      </w:r>
      <w:r>
        <w:rPr>
          <w:rFonts w:hint="eastAsia" w:ascii="仿宋" w:hAnsi="仿宋" w:eastAsia="仿宋" w:cs="CESI仿宋-GB2312"/>
          <w:sz w:val="32"/>
          <w:szCs w:val="32"/>
          <w:lang w:val="en-US" w:eastAsia="zh-CN"/>
        </w:rPr>
        <w:t>朱</w:t>
      </w:r>
      <w:r>
        <w:rPr>
          <w:rFonts w:ascii="仿宋" w:hAnsi="仿宋" w:eastAsia="仿宋" w:cs="仿宋"/>
          <w:kern w:val="0"/>
          <w:sz w:val="32"/>
          <w:szCs w:val="32"/>
        </w:rPr>
        <w:t>**</w:t>
      </w:r>
      <w:r>
        <w:rPr>
          <w:rFonts w:hint="eastAsia" w:ascii="仿宋" w:hAnsi="仿宋" w:eastAsia="仿宋" w:cs="CESI仿宋-GB2312"/>
          <w:sz w:val="32"/>
          <w:szCs w:val="32"/>
          <w:lang w:val="en-US" w:eastAsia="zh-CN"/>
        </w:rPr>
        <w:t>、魏</w:t>
      </w:r>
      <w:r>
        <w:rPr>
          <w:rFonts w:ascii="仿宋" w:hAnsi="仿宋" w:eastAsia="仿宋" w:cs="仿宋"/>
          <w:kern w:val="0"/>
          <w:sz w:val="32"/>
          <w:szCs w:val="32"/>
        </w:rPr>
        <w:t>**</w:t>
      </w:r>
      <w:r>
        <w:rPr>
          <w:rFonts w:hint="eastAsia" w:ascii="仿宋" w:hAnsi="仿宋" w:eastAsia="仿宋" w:cs="CESI仿宋-GB2312"/>
          <w:sz w:val="32"/>
          <w:szCs w:val="32"/>
          <w:lang w:eastAsia="zh-CN"/>
        </w:rPr>
        <w:t>、徐</w:t>
      </w:r>
      <w:r>
        <w:rPr>
          <w:rFonts w:ascii="仿宋" w:hAnsi="仿宋" w:eastAsia="仿宋" w:cs="仿宋"/>
          <w:kern w:val="0"/>
          <w:sz w:val="32"/>
          <w:szCs w:val="32"/>
        </w:rPr>
        <w:t>*</w:t>
      </w:r>
      <w:r>
        <w:rPr>
          <w:rFonts w:hint="eastAsia" w:ascii="仿宋" w:hAnsi="仿宋" w:eastAsia="仿宋" w:cs="CESI仿宋-GB2312"/>
          <w:sz w:val="32"/>
          <w:szCs w:val="32"/>
          <w:lang w:eastAsia="zh-CN"/>
        </w:rPr>
        <w:t>询问笔录</w:t>
      </w:r>
      <w:r>
        <w:rPr>
          <w:rFonts w:hint="eastAsia" w:ascii="仿宋" w:hAnsi="仿宋" w:eastAsia="仿宋" w:cs="CESI仿宋-GB2312"/>
          <w:sz w:val="32"/>
          <w:szCs w:val="32"/>
          <w:lang w:val="en-US" w:eastAsia="zh-CN"/>
        </w:rPr>
        <w:t>各1份、陈</w:t>
      </w:r>
      <w:r>
        <w:rPr>
          <w:rFonts w:ascii="仿宋" w:hAnsi="仿宋" w:eastAsia="仿宋" w:cs="仿宋"/>
          <w:kern w:val="0"/>
          <w:sz w:val="32"/>
          <w:szCs w:val="32"/>
        </w:rPr>
        <w:t>**</w:t>
      </w:r>
      <w:r>
        <w:rPr>
          <w:rFonts w:hint="eastAsia" w:ascii="仿宋" w:hAnsi="仿宋" w:eastAsia="仿宋" w:cs="CESI仿宋-GB2312"/>
          <w:sz w:val="32"/>
          <w:szCs w:val="32"/>
          <w:lang w:val="en-US" w:eastAsia="zh-CN"/>
        </w:rPr>
        <w:t>询问笔录3份，</w:t>
      </w:r>
      <w:r>
        <w:rPr>
          <w:rFonts w:hint="eastAsia" w:ascii="仿宋" w:hAnsi="仿宋" w:eastAsia="仿宋" w:cs="CESI仿宋-GB2312"/>
          <w:sz w:val="32"/>
          <w:szCs w:val="32"/>
          <w:lang w:eastAsia="zh-CN"/>
        </w:rPr>
        <w:t>证明纪瓷美使用当事人生产场所组织定制式固定义齿生产情况及当事人生产条件发生变化情况等，并进一步证明当事人出租的内容为生产场所，不包括医疗器械许可证件；</w:t>
      </w:r>
    </w:p>
    <w:p>
      <w:pPr>
        <w:keepNext/>
        <w:keepLines w:val="0"/>
        <w:pageBreakBefore w:val="0"/>
        <w:widowControl/>
        <w:kinsoku/>
        <w:wordWrap w:val="0"/>
        <w:overflowPunct/>
        <w:topLinePunct/>
        <w:autoSpaceDE/>
        <w:autoSpaceDN/>
        <w:bidi w:val="0"/>
        <w:adjustRightInd/>
        <w:snapToGrid/>
        <w:spacing w:line="560" w:lineRule="exact"/>
        <w:ind w:left="0" w:leftChars="0" w:right="0" w:firstLine="640" w:firstLineChars="200"/>
        <w:jc w:val="both"/>
        <w:textAlignment w:val="auto"/>
        <w:rPr>
          <w:rFonts w:hint="eastAsia" w:ascii="仿宋" w:hAnsi="仿宋" w:eastAsia="仿宋" w:cs="CESI仿宋-GB2312"/>
          <w:sz w:val="32"/>
          <w:szCs w:val="32"/>
          <w:lang w:val="en-US" w:eastAsia="zh-CN"/>
        </w:rPr>
      </w:pPr>
      <w:r>
        <w:rPr>
          <w:rFonts w:hint="eastAsia" w:ascii="仿宋" w:hAnsi="仿宋" w:eastAsia="仿宋" w:cs="CESI仿宋-GB2312"/>
          <w:sz w:val="32"/>
          <w:szCs w:val="32"/>
          <w:lang w:val="en-US" w:eastAsia="zh-CN"/>
        </w:rPr>
        <w:t>5.公安机关移交的《涉案固定义齿销售明细表》1份，证明</w:t>
      </w:r>
      <w:r>
        <w:rPr>
          <w:rFonts w:hint="eastAsia" w:ascii="仿宋" w:hAnsi="仿宋" w:eastAsia="仿宋" w:cs="CESI仿宋-GB2312"/>
          <w:sz w:val="32"/>
          <w:szCs w:val="32"/>
          <w:lang w:eastAsia="zh-CN"/>
        </w:rPr>
        <w:t>纪瓷美在当事人厂房生产定制式固定义齿的数量、金额等信息；</w:t>
      </w:r>
    </w:p>
    <w:p>
      <w:pPr>
        <w:keepNext/>
        <w:keepLines w:val="0"/>
        <w:pageBreakBefore w:val="0"/>
        <w:widowControl/>
        <w:kinsoku/>
        <w:wordWrap w:val="0"/>
        <w:overflowPunct/>
        <w:topLinePunct/>
        <w:autoSpaceDE/>
        <w:autoSpaceDN/>
        <w:bidi w:val="0"/>
        <w:adjustRightInd/>
        <w:snapToGrid/>
        <w:spacing w:line="560" w:lineRule="exact"/>
        <w:ind w:left="0" w:leftChars="0" w:right="0" w:firstLine="640" w:firstLineChars="200"/>
        <w:jc w:val="both"/>
        <w:textAlignment w:val="auto"/>
        <w:rPr>
          <w:rFonts w:hint="default" w:ascii="仿宋" w:hAnsi="仿宋" w:eastAsia="仿宋" w:cs="CESI仿宋-GB2312"/>
          <w:sz w:val="32"/>
          <w:szCs w:val="32"/>
          <w:lang w:val="en-US" w:eastAsia="zh-CN"/>
        </w:rPr>
      </w:pPr>
      <w:r>
        <w:rPr>
          <w:rFonts w:hint="eastAsia" w:ascii="仿宋" w:hAnsi="仿宋" w:eastAsia="仿宋" w:cs="CESI仿宋-GB2312"/>
          <w:sz w:val="32"/>
          <w:szCs w:val="32"/>
          <w:lang w:val="en-US" w:eastAsia="zh-CN"/>
        </w:rPr>
        <w:t>6.对</w:t>
      </w:r>
      <w:r>
        <w:rPr>
          <w:rFonts w:hint="eastAsia" w:ascii="仿宋" w:hAnsi="仿宋" w:eastAsia="仿宋" w:cs="CESI仿宋-GB2312"/>
          <w:sz w:val="32"/>
          <w:szCs w:val="32"/>
          <w:lang w:eastAsia="zh-CN"/>
        </w:rPr>
        <w:t>厦门思明优梨口腔门诊部有限公司的现场检查笔录</w:t>
      </w:r>
      <w:r>
        <w:rPr>
          <w:rFonts w:hint="eastAsia" w:ascii="仿宋" w:hAnsi="仿宋" w:eastAsia="仿宋" w:cs="CESI仿宋-GB2312"/>
          <w:sz w:val="32"/>
          <w:szCs w:val="32"/>
          <w:lang w:val="en-US" w:eastAsia="zh-CN"/>
        </w:rPr>
        <w:t>1份，证明我办对公安机关移送涉案固定义齿销售明细体现的销售流向延伸检查情况；</w:t>
      </w:r>
    </w:p>
    <w:p>
      <w:pPr>
        <w:keepNext/>
        <w:keepLines w:val="0"/>
        <w:pageBreakBefore w:val="0"/>
        <w:widowControl/>
        <w:kinsoku/>
        <w:wordWrap w:val="0"/>
        <w:overflowPunct/>
        <w:topLinePunct/>
        <w:autoSpaceDE/>
        <w:autoSpaceDN/>
        <w:bidi w:val="0"/>
        <w:adjustRightInd/>
        <w:snapToGrid/>
        <w:spacing w:line="560" w:lineRule="exact"/>
        <w:ind w:left="0" w:leftChars="0" w:right="0" w:firstLine="640" w:firstLineChars="200"/>
        <w:jc w:val="both"/>
        <w:textAlignment w:val="auto"/>
        <w:rPr>
          <w:rFonts w:hint="default" w:ascii="仿宋" w:hAnsi="仿宋" w:eastAsia="仿宋" w:cs="CESI仿宋-GB2312"/>
          <w:sz w:val="32"/>
          <w:szCs w:val="32"/>
          <w:lang w:val="en-US" w:eastAsia="zh-CN"/>
        </w:rPr>
      </w:pPr>
      <w:r>
        <w:rPr>
          <w:rFonts w:hint="eastAsia" w:ascii="仿宋" w:hAnsi="仿宋" w:eastAsia="仿宋" w:cs="CESI仿宋-GB2312"/>
          <w:sz w:val="32"/>
          <w:szCs w:val="32"/>
          <w:lang w:val="en-US" w:eastAsia="zh-CN"/>
        </w:rPr>
        <w:t>7.</w:t>
      </w:r>
      <w:r>
        <w:rPr>
          <w:rFonts w:hint="eastAsia" w:ascii="仿宋" w:hAnsi="仿宋" w:eastAsia="仿宋" w:cs="CESI仿宋-GB2312"/>
          <w:sz w:val="32"/>
          <w:szCs w:val="32"/>
          <w:lang w:eastAsia="zh-CN"/>
        </w:rPr>
        <w:t>当事人提供的第二类医疗器械生产许可证延续申报材料及说明材料各</w:t>
      </w:r>
      <w:r>
        <w:rPr>
          <w:rFonts w:hint="eastAsia" w:ascii="仿宋" w:hAnsi="仿宋" w:eastAsia="仿宋" w:cs="CESI仿宋-GB2312"/>
          <w:sz w:val="32"/>
          <w:szCs w:val="32"/>
          <w:lang w:val="en-US" w:eastAsia="zh-CN"/>
        </w:rPr>
        <w:t>1份，证明</w:t>
      </w:r>
      <w:r>
        <w:rPr>
          <w:rFonts w:hint="eastAsia" w:ascii="仿宋" w:hAnsi="仿宋" w:eastAsia="仿宋" w:cs="CESI仿宋-GB2312"/>
          <w:sz w:val="32"/>
          <w:szCs w:val="32"/>
          <w:lang w:eastAsia="zh-CN"/>
        </w:rPr>
        <w:t>当事人生产厂房平面布局及生产工位数量情况；</w:t>
      </w:r>
    </w:p>
    <w:p>
      <w:pPr>
        <w:keepNext/>
        <w:keepLines w:val="0"/>
        <w:pageBreakBefore w:val="0"/>
        <w:widowControl/>
        <w:kinsoku/>
        <w:wordWrap w:val="0"/>
        <w:overflowPunct/>
        <w:topLinePunct/>
        <w:autoSpaceDE/>
        <w:autoSpaceDN/>
        <w:bidi w:val="0"/>
        <w:adjustRightInd/>
        <w:snapToGrid/>
        <w:spacing w:line="560" w:lineRule="exact"/>
        <w:ind w:left="0" w:leftChars="0" w:right="0" w:firstLine="640" w:firstLineChars="200"/>
        <w:jc w:val="both"/>
        <w:textAlignment w:val="auto"/>
        <w:rPr>
          <w:rFonts w:hint="eastAsia" w:ascii="仿宋" w:hAnsi="仿宋" w:eastAsia="仿宋" w:cs="CESI仿宋-GB2312"/>
          <w:sz w:val="32"/>
          <w:szCs w:val="32"/>
          <w:lang w:eastAsia="zh-CN"/>
        </w:rPr>
      </w:pPr>
      <w:r>
        <w:rPr>
          <w:rFonts w:hint="eastAsia" w:ascii="仿宋" w:hAnsi="仿宋" w:eastAsia="仿宋" w:cs="CESI仿宋-GB2312"/>
          <w:sz w:val="32"/>
          <w:szCs w:val="32"/>
          <w:lang w:val="en-US" w:eastAsia="zh-CN"/>
        </w:rPr>
        <w:t>8.当事人提交的2021年度和2022年度质量管理体系自查报告，证明当事人出租生产工位期间生产条件发生变化，未按规定整改、停止生产、报告；</w:t>
      </w:r>
    </w:p>
    <w:p>
      <w:pPr>
        <w:keepNext/>
        <w:keepLines w:val="0"/>
        <w:pageBreakBefore w:val="0"/>
        <w:widowControl/>
        <w:kinsoku/>
        <w:wordWrap w:val="0"/>
        <w:overflowPunct/>
        <w:topLinePunct/>
        <w:autoSpaceDE/>
        <w:autoSpaceDN/>
        <w:bidi w:val="0"/>
        <w:adjustRightInd/>
        <w:snapToGrid/>
        <w:spacing w:line="560" w:lineRule="exact"/>
        <w:ind w:left="0" w:leftChars="0" w:right="0" w:firstLine="640" w:firstLineChars="200"/>
        <w:jc w:val="both"/>
        <w:textAlignment w:val="auto"/>
        <w:rPr>
          <w:rFonts w:hint="eastAsia" w:ascii="仿宋" w:hAnsi="仿宋" w:eastAsia="仿宋" w:cs="CESI仿宋-GB2312"/>
          <w:sz w:val="32"/>
          <w:szCs w:val="32"/>
          <w:lang w:eastAsia="zh-CN"/>
        </w:rPr>
      </w:pPr>
      <w:r>
        <w:rPr>
          <w:rFonts w:hint="eastAsia" w:ascii="仿宋" w:hAnsi="仿宋" w:eastAsia="仿宋" w:cs="CESI仿宋-GB2312"/>
          <w:sz w:val="32"/>
          <w:szCs w:val="32"/>
          <w:lang w:val="en-US" w:eastAsia="zh-CN"/>
        </w:rPr>
        <w:t>9</w:t>
      </w:r>
      <w:r>
        <w:rPr>
          <w:rFonts w:hint="eastAsia" w:ascii="仿宋" w:hAnsi="仿宋" w:eastAsia="仿宋" w:cs="CESI仿宋-GB2312"/>
          <w:sz w:val="32"/>
          <w:szCs w:val="32"/>
          <w:lang w:eastAsia="zh-CN"/>
        </w:rPr>
        <w:t>.厦门市公安局新阳派出所出具的说明材料</w:t>
      </w:r>
      <w:r>
        <w:rPr>
          <w:rFonts w:hint="eastAsia" w:ascii="仿宋" w:hAnsi="仿宋" w:eastAsia="仿宋" w:cs="CESI仿宋-GB2312"/>
          <w:sz w:val="32"/>
          <w:szCs w:val="32"/>
          <w:lang w:val="en-US" w:eastAsia="zh-CN"/>
        </w:rPr>
        <w:t>1份</w:t>
      </w:r>
      <w:r>
        <w:rPr>
          <w:rFonts w:hint="eastAsia" w:ascii="仿宋" w:hAnsi="仿宋" w:eastAsia="仿宋" w:cs="CESI仿宋-GB2312"/>
          <w:sz w:val="32"/>
          <w:szCs w:val="32"/>
          <w:lang w:eastAsia="zh-CN"/>
        </w:rPr>
        <w:t>，证明调查中未查获相关涉案物品的情况；</w:t>
      </w:r>
    </w:p>
    <w:p>
      <w:pPr>
        <w:keepNext/>
        <w:keepLines w:val="0"/>
        <w:pageBreakBefore w:val="0"/>
        <w:widowControl/>
        <w:kinsoku/>
        <w:wordWrap w:val="0"/>
        <w:overflowPunct/>
        <w:topLinePunct/>
        <w:autoSpaceDE/>
        <w:autoSpaceDN/>
        <w:bidi w:val="0"/>
        <w:adjustRightInd/>
        <w:snapToGrid/>
        <w:spacing w:line="560" w:lineRule="exact"/>
        <w:ind w:left="0" w:leftChars="0" w:right="0" w:firstLine="640" w:firstLineChars="200"/>
        <w:jc w:val="both"/>
        <w:textAlignment w:val="auto"/>
        <w:rPr>
          <w:rFonts w:hint="eastAsia" w:ascii="仿宋" w:hAnsi="仿宋" w:eastAsia="仿宋" w:cs="CESI仿宋-GB2312"/>
          <w:sz w:val="32"/>
          <w:szCs w:val="32"/>
          <w:lang w:val="en-US" w:eastAsia="zh-CN"/>
        </w:rPr>
      </w:pPr>
      <w:r>
        <w:rPr>
          <w:rFonts w:hint="eastAsia" w:ascii="仿宋" w:hAnsi="仿宋" w:eastAsia="仿宋" w:cs="CESI仿宋-GB2312"/>
          <w:sz w:val="32"/>
          <w:szCs w:val="32"/>
          <w:lang w:val="en-US" w:eastAsia="zh-CN"/>
        </w:rPr>
        <w:t>10.</w:t>
      </w:r>
      <w:r>
        <w:rPr>
          <w:rFonts w:hint="eastAsia" w:ascii="仿宋" w:hAnsi="仿宋" w:eastAsia="仿宋" w:cs="CESI仿宋-GB2312"/>
          <w:sz w:val="32"/>
          <w:szCs w:val="32"/>
          <w:lang w:eastAsia="zh-CN"/>
        </w:rPr>
        <w:t>当事人提交的《生产设备一览表》</w:t>
      </w:r>
      <w:r>
        <w:rPr>
          <w:rFonts w:hint="eastAsia" w:ascii="仿宋" w:hAnsi="仿宋" w:eastAsia="仿宋" w:cs="CESI仿宋-GB2312"/>
          <w:sz w:val="32"/>
          <w:szCs w:val="32"/>
          <w:lang w:val="en-US" w:eastAsia="zh-CN"/>
        </w:rPr>
        <w:t>1份、《销售单》3份，证明当事人目前设备配备的情况；</w:t>
      </w:r>
    </w:p>
    <w:p>
      <w:pPr>
        <w:keepNext/>
        <w:keepLines w:val="0"/>
        <w:pageBreakBefore w:val="0"/>
        <w:widowControl/>
        <w:kinsoku/>
        <w:wordWrap w:val="0"/>
        <w:overflowPunct/>
        <w:topLinePunct/>
        <w:autoSpaceDE/>
        <w:autoSpaceDN/>
        <w:bidi w:val="0"/>
        <w:adjustRightInd/>
        <w:snapToGrid/>
        <w:spacing w:line="560" w:lineRule="exact"/>
        <w:ind w:left="0" w:leftChars="0" w:right="0" w:firstLine="640" w:firstLineChars="200"/>
        <w:jc w:val="both"/>
        <w:textAlignment w:val="auto"/>
        <w:rPr>
          <w:rFonts w:hint="default" w:ascii="仿宋" w:hAnsi="仿宋" w:eastAsia="仿宋" w:cs="CESI仿宋-GB2312"/>
          <w:sz w:val="32"/>
          <w:szCs w:val="32"/>
          <w:lang w:val="en-US" w:eastAsia="zh-CN"/>
        </w:rPr>
      </w:pPr>
      <w:r>
        <w:rPr>
          <w:rFonts w:hint="eastAsia" w:ascii="仿宋" w:hAnsi="仿宋" w:eastAsia="仿宋" w:cs="CESI仿宋-GB2312"/>
          <w:sz w:val="32"/>
          <w:szCs w:val="32"/>
          <w:lang w:val="en-US" w:eastAsia="zh-CN"/>
        </w:rPr>
        <w:t>11.国家企业信用信息公示系统查询截图，证明当事人无行政处罚信息记录；</w:t>
      </w:r>
    </w:p>
    <w:p>
      <w:pPr>
        <w:keepNext/>
        <w:keepLines w:val="0"/>
        <w:pageBreakBefore w:val="0"/>
        <w:widowControl/>
        <w:kinsoku/>
        <w:wordWrap w:val="0"/>
        <w:overflowPunct/>
        <w:topLinePunct/>
        <w:autoSpaceDE/>
        <w:autoSpaceDN/>
        <w:bidi w:val="0"/>
        <w:adjustRightInd/>
        <w:snapToGrid/>
        <w:spacing w:line="560" w:lineRule="exact"/>
        <w:ind w:left="0" w:leftChars="0" w:right="0" w:firstLine="640" w:firstLineChars="200"/>
        <w:jc w:val="both"/>
        <w:textAlignment w:val="auto"/>
        <w:rPr>
          <w:rFonts w:hint="eastAsia" w:ascii="仿宋" w:hAnsi="仿宋" w:eastAsia="仿宋" w:cs="CESI仿宋-GB2312"/>
          <w:sz w:val="32"/>
          <w:szCs w:val="32"/>
          <w:lang w:eastAsia="zh-CN"/>
        </w:rPr>
      </w:pPr>
      <w:r>
        <w:rPr>
          <w:rFonts w:hint="eastAsia" w:ascii="仿宋" w:hAnsi="仿宋" w:eastAsia="仿宋" w:cs="CESI仿宋-GB2312"/>
          <w:sz w:val="32"/>
          <w:szCs w:val="32"/>
          <w:lang w:val="en-US" w:eastAsia="zh-CN"/>
        </w:rPr>
        <w:t>12</w:t>
      </w:r>
      <w:r>
        <w:rPr>
          <w:rFonts w:hint="eastAsia" w:ascii="仿宋" w:hAnsi="仿宋" w:eastAsia="仿宋" w:cs="CESI仿宋-GB2312"/>
          <w:sz w:val="32"/>
          <w:szCs w:val="32"/>
          <w:lang w:eastAsia="zh-CN"/>
        </w:rPr>
        <w:t>.《涉嫌犯罪案件移送书》（闽药监厦稽办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3-19号</w:t>
      </w:r>
      <w:r>
        <w:rPr>
          <w:rFonts w:hint="eastAsia" w:ascii="仿宋" w:hAnsi="仿宋" w:eastAsia="仿宋" w:cs="CESI仿宋-GB2312"/>
          <w:sz w:val="32"/>
          <w:szCs w:val="32"/>
          <w:lang w:eastAsia="zh-CN"/>
        </w:rPr>
        <w:t>）、送达回证、立案告知书（厦公海（新阳）立字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00069号</w:t>
      </w:r>
      <w:r>
        <w:rPr>
          <w:rFonts w:hint="eastAsia" w:ascii="仿宋" w:hAnsi="仿宋" w:eastAsia="仿宋" w:cs="CESI仿宋-GB2312"/>
          <w:sz w:val="32"/>
          <w:szCs w:val="32"/>
          <w:lang w:eastAsia="zh-CN"/>
        </w:rPr>
        <w:t>）、受案回执，证明我</w:t>
      </w:r>
      <w:r>
        <w:rPr>
          <w:rFonts w:hint="eastAsia" w:ascii="仿宋" w:hAnsi="仿宋" w:eastAsia="仿宋" w:cs="CESI仿宋-GB2312"/>
          <w:sz w:val="32"/>
          <w:szCs w:val="32"/>
          <w:lang w:val="en-US" w:eastAsia="zh-CN"/>
        </w:rPr>
        <w:t>局厦门药品稽查办将纪瓷美无证从事生产定制式固定义齿涉嫌构成犯罪的案件移送厦门公安机关，且厦门公安机关已对纪瓷美涉嫌非法经营罪立案侦查；</w:t>
      </w:r>
    </w:p>
    <w:p>
      <w:pPr>
        <w:keepNext/>
        <w:keepLines w:val="0"/>
        <w:pageBreakBefore w:val="0"/>
        <w:widowControl/>
        <w:kinsoku/>
        <w:wordWrap w:val="0"/>
        <w:overflowPunct/>
        <w:topLinePunct/>
        <w:autoSpaceDE/>
        <w:autoSpaceDN/>
        <w:bidi w:val="0"/>
        <w:adjustRightInd/>
        <w:snapToGrid/>
        <w:spacing w:line="560" w:lineRule="exact"/>
        <w:ind w:left="0" w:leftChars="0" w:right="0" w:firstLine="640" w:firstLineChars="200"/>
        <w:jc w:val="both"/>
        <w:textAlignment w:val="auto"/>
        <w:rPr>
          <w:rFonts w:hint="eastAsia" w:ascii="仿宋" w:hAnsi="仿宋" w:eastAsia="仿宋" w:cs="CESI仿宋-GB2312"/>
          <w:sz w:val="32"/>
          <w:szCs w:val="32"/>
          <w:lang w:eastAsia="zh-CN"/>
        </w:rPr>
      </w:pPr>
      <w:r>
        <w:rPr>
          <w:rFonts w:hint="eastAsia" w:ascii="仿宋" w:hAnsi="仿宋" w:eastAsia="仿宋" w:cs="CESI仿宋-GB2312"/>
          <w:sz w:val="32"/>
          <w:szCs w:val="32"/>
          <w:lang w:val="en-US" w:eastAsia="zh-CN"/>
        </w:rPr>
        <w:t>13.</w:t>
      </w:r>
      <w:r>
        <w:rPr>
          <w:rFonts w:hint="eastAsia" w:ascii="仿宋" w:hAnsi="仿宋" w:eastAsia="仿宋" w:cs="CESI仿宋-GB2312"/>
          <w:sz w:val="32"/>
          <w:szCs w:val="32"/>
          <w:lang w:eastAsia="zh-CN"/>
        </w:rPr>
        <w:t>当事人《营业执照》《医疗器械生产许可证》及变更页、定制式固定义齿、定制式活动义齿《医疗器械注册证》及变更页、登记通知书以及纪瓷美、壹角兽商事主体登记及信用信息公示平台截图各1份，证明当事人取得的医疗器械生产资质、法定代表人、企业负责人、生产地址变更情况以及纪瓷美、壹角兽商事主体登记情况；</w:t>
      </w:r>
    </w:p>
    <w:p>
      <w:pPr>
        <w:keepNext/>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 w:hAnsi="仿宋" w:eastAsia="仿宋" w:cs="CESI仿宋-GB2312"/>
          <w:sz w:val="32"/>
          <w:szCs w:val="32"/>
          <w:lang w:val="en-US" w:eastAsia="zh-CN"/>
        </w:rPr>
      </w:pPr>
      <w:r>
        <w:rPr>
          <w:rFonts w:hint="eastAsia" w:ascii="仿宋" w:hAnsi="仿宋" w:eastAsia="仿宋" w:cs="CESI仿宋-GB2312"/>
          <w:sz w:val="32"/>
          <w:szCs w:val="32"/>
          <w:lang w:val="en-US" w:eastAsia="zh-CN"/>
        </w:rPr>
        <w:t>14.</w:t>
      </w:r>
      <w:r>
        <w:rPr>
          <w:rFonts w:hint="eastAsia" w:ascii="仿宋" w:hAnsi="仿宋" w:eastAsia="仿宋" w:cs="CESI仿宋-GB2312"/>
          <w:sz w:val="32"/>
          <w:szCs w:val="32"/>
          <w:lang w:eastAsia="zh-CN"/>
        </w:rPr>
        <w:t>当事人违法行为发生期间的法定代表人（企业负责人）蔡</w:t>
      </w:r>
      <w:r>
        <w:rPr>
          <w:rFonts w:ascii="仿宋" w:hAnsi="仿宋" w:eastAsia="仿宋" w:cs="仿宋"/>
          <w:kern w:val="0"/>
          <w:sz w:val="32"/>
          <w:szCs w:val="32"/>
        </w:rPr>
        <w:t>**</w:t>
      </w:r>
      <w:r>
        <w:rPr>
          <w:rFonts w:hint="eastAsia" w:ascii="仿宋" w:hAnsi="仿宋" w:eastAsia="仿宋" w:cs="CESI仿宋-GB2312"/>
          <w:sz w:val="32"/>
          <w:szCs w:val="32"/>
          <w:lang w:eastAsia="zh-CN"/>
        </w:rPr>
        <w:t>、管理者代表朱</w:t>
      </w:r>
      <w:r>
        <w:rPr>
          <w:rFonts w:ascii="仿宋" w:hAnsi="仿宋" w:eastAsia="仿宋" w:cs="仿宋"/>
          <w:kern w:val="0"/>
          <w:sz w:val="32"/>
          <w:szCs w:val="32"/>
        </w:rPr>
        <w:t>**</w:t>
      </w:r>
      <w:r>
        <w:rPr>
          <w:rFonts w:hint="eastAsia" w:ascii="仿宋" w:hAnsi="仿宋" w:eastAsia="仿宋" w:cs="CESI仿宋-GB2312"/>
          <w:sz w:val="32"/>
          <w:szCs w:val="32"/>
          <w:lang w:eastAsia="zh-CN"/>
        </w:rPr>
        <w:t>、生产副总经理兼生产部、技术部负责人陈</w:t>
      </w:r>
      <w:r>
        <w:rPr>
          <w:rFonts w:ascii="仿宋" w:hAnsi="仿宋" w:eastAsia="仿宋" w:cs="仿宋"/>
          <w:kern w:val="0"/>
          <w:sz w:val="32"/>
          <w:szCs w:val="32"/>
        </w:rPr>
        <w:t>**</w:t>
      </w:r>
      <w:r>
        <w:rPr>
          <w:rFonts w:hint="eastAsia" w:ascii="仿宋" w:hAnsi="仿宋" w:eastAsia="仿宋" w:cs="CESI仿宋-GB2312"/>
          <w:sz w:val="32"/>
          <w:szCs w:val="32"/>
          <w:lang w:eastAsia="zh-CN"/>
        </w:rPr>
        <w:t>、目前的法定代表人汪明同身份证、《人事任命书》（年达司发</w:t>
      </w:r>
      <w:r>
        <w:rPr>
          <w:rFonts w:hint="eastAsia" w:ascii="仿宋" w:hAnsi="仿宋" w:eastAsia="仿宋" w:cs="CESI仿宋-GB2312"/>
          <w:sz w:val="32"/>
          <w:szCs w:val="32"/>
          <w:lang w:val="en-US" w:eastAsia="zh-CN"/>
        </w:rPr>
        <w:t>2019第【第4号】</w:t>
      </w:r>
      <w:r>
        <w:rPr>
          <w:rFonts w:hint="eastAsia" w:ascii="仿宋" w:hAnsi="仿宋" w:eastAsia="仿宋" w:cs="CESI仿宋-GB2312"/>
          <w:sz w:val="32"/>
          <w:szCs w:val="32"/>
          <w:lang w:eastAsia="zh-CN"/>
        </w:rPr>
        <w:t>）复印件以及当事人《委托授权书》原件各</w:t>
      </w:r>
      <w:r>
        <w:rPr>
          <w:rFonts w:hint="eastAsia" w:ascii="仿宋" w:hAnsi="仿宋" w:eastAsia="仿宋" w:cs="CESI仿宋-GB2312"/>
          <w:sz w:val="32"/>
          <w:szCs w:val="32"/>
          <w:lang w:val="en-US" w:eastAsia="zh-CN"/>
        </w:rPr>
        <w:t>1份</w:t>
      </w:r>
      <w:r>
        <w:rPr>
          <w:rFonts w:hint="eastAsia" w:ascii="仿宋" w:hAnsi="仿宋" w:eastAsia="仿宋" w:cs="CESI仿宋-GB2312"/>
          <w:sz w:val="32"/>
          <w:szCs w:val="32"/>
          <w:lang w:eastAsia="zh-CN"/>
        </w:rPr>
        <w:t>，证明调查取证涉及当事人相关人员及委托授权情况。</w:t>
      </w:r>
    </w:p>
    <w:p>
      <w:pPr>
        <w:pStyle w:val="5"/>
        <w:keepNext/>
        <w:keepLines w:val="0"/>
        <w:pageBreakBefore w:val="0"/>
        <w:widowControl w:val="0"/>
        <w:tabs>
          <w:tab w:val="left" w:pos="8964"/>
        </w:tabs>
        <w:kinsoku/>
        <w:wordWrap/>
        <w:overflowPunct/>
        <w:topLinePunct w:val="0"/>
        <w:autoSpaceDE/>
        <w:autoSpaceDN/>
        <w:bidi w:val="0"/>
        <w:spacing w:line="560" w:lineRule="exact"/>
        <w:ind w:left="0" w:firstLine="640" w:firstLineChars="200"/>
        <w:jc w:val="both"/>
        <w:textAlignment w:val="auto"/>
        <w:rPr>
          <w:rFonts w:hint="default" w:ascii="仿宋" w:hAnsi="仿宋" w:eastAsia="仿宋" w:cs="仿宋"/>
          <w:lang w:val="en-US" w:eastAsia="zh-CN"/>
        </w:rPr>
      </w:pPr>
      <w:r>
        <w:rPr>
          <w:rFonts w:hint="eastAsia" w:ascii="仿宋" w:hAnsi="仿宋" w:eastAsia="仿宋" w:cs="仿宋"/>
          <w:lang w:eastAsia="zh-CN"/>
        </w:rPr>
        <w:t>我局于202</w:t>
      </w:r>
      <w:r>
        <w:rPr>
          <w:rFonts w:hint="eastAsia" w:ascii="仿宋" w:hAnsi="仿宋" w:eastAsia="仿宋" w:cs="仿宋"/>
          <w:lang w:val="en-US" w:eastAsia="zh-CN"/>
        </w:rPr>
        <w:t>4</w:t>
      </w:r>
      <w:r>
        <w:rPr>
          <w:rFonts w:hint="eastAsia" w:ascii="仿宋" w:hAnsi="仿宋" w:eastAsia="仿宋" w:cs="仿宋"/>
          <w:lang w:eastAsia="zh-CN"/>
        </w:rPr>
        <w:t>年</w:t>
      </w:r>
      <w:r>
        <w:rPr>
          <w:rFonts w:hint="eastAsia" w:ascii="仿宋" w:hAnsi="仿宋" w:eastAsia="仿宋" w:cs="仿宋"/>
          <w:lang w:val="en-US" w:eastAsia="zh-CN"/>
        </w:rPr>
        <w:t>8</w:t>
      </w:r>
      <w:r>
        <w:rPr>
          <w:rFonts w:hint="eastAsia" w:ascii="仿宋" w:hAnsi="仿宋" w:eastAsia="仿宋" w:cs="仿宋"/>
          <w:lang w:eastAsia="zh-CN"/>
        </w:rPr>
        <w:t>月</w:t>
      </w:r>
      <w:r>
        <w:rPr>
          <w:rFonts w:hint="eastAsia" w:ascii="仿宋" w:hAnsi="仿宋" w:eastAsia="仿宋" w:cs="仿宋"/>
          <w:lang w:val="en-US" w:eastAsia="zh-CN"/>
        </w:rPr>
        <w:t>16</w:t>
      </w:r>
      <w:r>
        <w:rPr>
          <w:rFonts w:hint="eastAsia" w:ascii="仿宋" w:hAnsi="仿宋" w:eastAsia="仿宋" w:cs="仿宋"/>
          <w:lang w:eastAsia="zh-CN"/>
        </w:rPr>
        <w:t>日</w:t>
      </w:r>
      <w:r>
        <w:rPr>
          <w:rFonts w:hint="eastAsia" w:ascii="仿宋" w:eastAsia="仿宋" w:cs="仿宋"/>
          <w:w w:val="99"/>
          <w:lang w:eastAsia="zh-CN"/>
        </w:rPr>
        <w:t>向</w:t>
      </w:r>
      <w:r>
        <w:rPr>
          <w:rFonts w:hint="eastAsia" w:ascii="仿宋" w:hAnsi="仿宋" w:eastAsia="仿宋" w:cs="CESI仿宋-GB2312"/>
          <w:color w:val="000000" w:themeColor="text1"/>
          <w:sz w:val="32"/>
          <w:szCs w:val="32"/>
          <w:lang w:eastAsia="zh-CN"/>
          <w14:textFill>
            <w14:solidFill>
              <w14:schemeClr w14:val="tx1"/>
            </w14:solidFill>
          </w14:textFill>
        </w:rPr>
        <w:t>当事人</w:t>
      </w:r>
      <w:r>
        <w:rPr>
          <w:rFonts w:hint="eastAsia" w:ascii="仿宋" w:eastAsia="仿宋" w:cs="仿宋"/>
          <w:w w:val="99"/>
          <w:lang w:eastAsia="zh-CN"/>
        </w:rPr>
        <w:t>直接送达了《行政处罚告知书》（闽药监厦稽办罚</w:t>
      </w:r>
      <w:r>
        <w:rPr>
          <w:rFonts w:hint="eastAsia" w:ascii="仿宋" w:eastAsia="仿宋" w:cs="仿宋"/>
          <w:w w:val="99"/>
          <w:lang w:val="en-US" w:eastAsia="zh-CN"/>
        </w:rPr>
        <w:t>告〔2024〕015号）</w:t>
      </w:r>
      <w:r>
        <w:rPr>
          <w:rFonts w:hint="eastAsia" w:ascii="仿宋" w:eastAsia="仿宋" w:cs="仿宋"/>
          <w:w w:val="99"/>
          <w:lang w:eastAsia="zh-CN"/>
        </w:rPr>
        <w:t>，告知当事人拟作出行政处罚内容以及事实、理由、依据，并告知其依法享有陈述、申辩和要求听证的权利。</w:t>
      </w:r>
      <w:r>
        <w:rPr>
          <w:rFonts w:hint="eastAsia" w:ascii="仿宋" w:hAnsi="宋体" w:eastAsia="仿宋" w:cs="仿宋"/>
          <w:w w:val="99"/>
          <w:lang w:val="en-US" w:eastAsia="zh-CN"/>
        </w:rPr>
        <w:t>在法定期限内，当事人未向</w:t>
      </w:r>
      <w:r>
        <w:rPr>
          <w:rFonts w:hint="eastAsia" w:ascii="仿宋" w:eastAsia="仿宋" w:cs="仿宋"/>
          <w:w w:val="99"/>
          <w:lang w:val="en-US" w:eastAsia="zh-CN"/>
        </w:rPr>
        <w:t>我</w:t>
      </w:r>
      <w:r>
        <w:rPr>
          <w:rFonts w:hint="eastAsia" w:ascii="仿宋" w:hAnsi="宋体" w:eastAsia="仿宋" w:cs="仿宋"/>
          <w:w w:val="99"/>
          <w:lang w:val="en-US" w:eastAsia="zh-CN"/>
        </w:rPr>
        <w:t>局提出陈述、申辩和听证要求。</w:t>
      </w:r>
    </w:p>
    <w:p>
      <w:pPr>
        <w:pStyle w:val="5"/>
        <w:keepNext/>
        <w:keepLines w:val="0"/>
        <w:pageBreakBefore w:val="0"/>
        <w:widowControl w:val="0"/>
        <w:tabs>
          <w:tab w:val="left" w:pos="89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1"/>
          <w:sz w:val="32"/>
          <w:szCs w:val="32"/>
          <w:lang w:eastAsia="zh-CN"/>
        </w:rPr>
      </w:pPr>
      <w:r>
        <w:rPr>
          <w:rFonts w:hint="eastAsia" w:ascii="华文仿宋" w:hAnsi="华文仿宋" w:eastAsia="华文仿宋"/>
          <w:sz w:val="32"/>
          <w:szCs w:val="32"/>
          <w:lang w:eastAsia="zh-CN"/>
        </w:rPr>
        <w:t>我局认为</w:t>
      </w:r>
      <w:r>
        <w:rPr>
          <w:rFonts w:hint="eastAsia" w:ascii="仿宋" w:hAnsi="仿宋" w:eastAsia="仿宋" w:cs="仿宋"/>
          <w:sz w:val="32"/>
          <w:szCs w:val="32"/>
          <w:lang w:eastAsia="zh-CN"/>
        </w:rPr>
        <w:t>，</w:t>
      </w:r>
      <w:r>
        <w:rPr>
          <w:rFonts w:hint="eastAsia" w:ascii="仿宋_GB2312" w:hAnsi="仿宋_GB2312" w:eastAsia="仿宋_GB2312" w:cs="仿宋_GB2312"/>
          <w:sz w:val="32"/>
          <w:lang w:eastAsia="zh-CN"/>
        </w:rPr>
        <w:t>在知悉租赁方未取得定制式固定义齿生产资质的情况下，当事人仍以出租生产场所的方式为纪瓷美无证生产</w:t>
      </w:r>
      <w:r>
        <w:rPr>
          <w:rFonts w:hint="eastAsia" w:ascii="仿宋" w:hAnsi="仿宋" w:eastAsia="仿宋" w:cs="CESI仿宋-GB2312"/>
          <w:sz w:val="32"/>
          <w:szCs w:val="32"/>
          <w:lang w:eastAsia="zh-CN"/>
        </w:rPr>
        <w:t>定制式固定义齿</w:t>
      </w:r>
      <w:r>
        <w:rPr>
          <w:rFonts w:hint="eastAsia" w:ascii="仿宋_GB2312" w:hAnsi="仿宋_GB2312" w:eastAsia="仿宋_GB2312" w:cs="仿宋_GB2312"/>
          <w:sz w:val="32"/>
          <w:lang w:eastAsia="zh-CN"/>
        </w:rPr>
        <w:t>提供便利条件，</w:t>
      </w:r>
      <w:r>
        <w:rPr>
          <w:rFonts w:hint="eastAsia" w:ascii="仿宋" w:hAnsi="仿宋" w:eastAsia="仿宋" w:cs="CESI仿宋-GB2312"/>
          <w:sz w:val="32"/>
          <w:szCs w:val="32"/>
          <w:lang w:eastAsia="zh-CN"/>
        </w:rPr>
        <w:t>违反了《医疗器械监督管理条例》第十三条第一款、第三十二条第一款的规定，与纪瓷美</w:t>
      </w:r>
      <w:r>
        <w:rPr>
          <w:rFonts w:hint="eastAsia" w:ascii="仿宋_GB2312" w:hAnsi="仿宋_GB2312" w:eastAsia="仿宋_GB2312" w:cs="仿宋_GB2312"/>
          <w:sz w:val="32"/>
          <w:lang w:eastAsia="zh-CN"/>
        </w:rPr>
        <w:t>共同构成</w:t>
      </w:r>
      <w:r>
        <w:rPr>
          <w:rFonts w:hint="eastAsia" w:ascii="仿宋" w:hAnsi="仿宋" w:eastAsia="仿宋" w:cs="CESI仿宋-GB2312"/>
          <w:sz w:val="32"/>
          <w:szCs w:val="32"/>
          <w:lang w:eastAsia="zh-CN"/>
        </w:rPr>
        <w:t>未经许可生产无注册证定制式固定义齿的违法行为。同时，当事人</w:t>
      </w:r>
      <w:r>
        <w:rPr>
          <w:rFonts w:hint="eastAsia" w:ascii="仿宋_GB2312" w:hAnsi="仿宋_GB2312" w:eastAsia="仿宋_GB2312" w:cs="仿宋_GB2312"/>
          <w:sz w:val="32"/>
          <w:lang w:eastAsia="zh-CN"/>
        </w:rPr>
        <w:t>出租生产场所导致</w:t>
      </w:r>
      <w:r>
        <w:rPr>
          <w:rFonts w:ascii="仿宋_GB2312" w:hAnsi="仿宋_GB2312" w:eastAsia="仿宋_GB2312" w:cs="仿宋_GB2312"/>
          <w:sz w:val="32"/>
        </w:rPr>
        <w:t>生产条件发生变化、不再符合医疗器械质量管理体系要求，可能影响医疗器械安全、有效</w:t>
      </w:r>
      <w:r>
        <w:rPr>
          <w:rFonts w:hint="eastAsia" w:ascii="仿宋_GB2312" w:hAnsi="仿宋_GB2312" w:eastAsia="仿宋_GB2312" w:cs="仿宋_GB2312"/>
          <w:sz w:val="32"/>
          <w:lang w:eastAsia="zh-CN"/>
        </w:rPr>
        <w:t>，</w:t>
      </w:r>
      <w:r>
        <w:rPr>
          <w:rFonts w:ascii="仿宋_GB2312" w:hAnsi="仿宋_GB2312" w:eastAsia="仿宋_GB2312" w:cs="仿宋_GB2312"/>
          <w:sz w:val="32"/>
        </w:rPr>
        <w:t>未依照规定整改、停止生产、报告</w:t>
      </w:r>
      <w:r>
        <w:rPr>
          <w:rFonts w:hint="eastAsia" w:ascii="仿宋_GB2312" w:hAnsi="仿宋_GB2312" w:eastAsia="仿宋_GB2312" w:cs="仿宋_GB2312"/>
          <w:sz w:val="32"/>
          <w:lang w:eastAsia="zh-CN"/>
        </w:rPr>
        <w:t>，</w:t>
      </w:r>
      <w:r>
        <w:rPr>
          <w:rFonts w:hint="eastAsia" w:ascii="仿宋" w:hAnsi="仿宋" w:eastAsia="仿宋" w:cs="CESI仿宋-GB2312"/>
          <w:sz w:val="32"/>
          <w:szCs w:val="32"/>
          <w:lang w:eastAsia="zh-CN"/>
        </w:rPr>
        <w:t>违反了《医疗器械监督管理条例》第三十六条的规</w:t>
      </w:r>
      <w:r>
        <w:rPr>
          <w:rFonts w:hint="eastAsia" w:ascii="仿宋_GB2312" w:hAnsi="仿宋_GB2312" w:eastAsia="仿宋_GB2312" w:cs="仿宋_GB2312"/>
          <w:sz w:val="32"/>
          <w:lang w:eastAsia="zh-CN"/>
        </w:rPr>
        <w:t>定。</w:t>
      </w:r>
    </w:p>
    <w:p>
      <w:pPr>
        <w:pStyle w:val="5"/>
        <w:keepNext/>
        <w:keepLines w:val="0"/>
        <w:pageBreakBefore w:val="0"/>
        <w:widowControl w:val="0"/>
        <w:tabs>
          <w:tab w:val="left" w:pos="89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ESI仿宋-GB2312"/>
          <w:sz w:val="32"/>
          <w:szCs w:val="32"/>
          <w:lang w:eastAsia="zh-CN"/>
        </w:rPr>
      </w:pPr>
      <w:r>
        <w:rPr>
          <w:rFonts w:hint="eastAsia" w:ascii="仿宋" w:hAnsi="仿宋" w:eastAsia="仿宋" w:cs="CESI仿宋-GB2312"/>
          <w:sz w:val="32"/>
          <w:szCs w:val="32"/>
          <w:lang w:eastAsia="zh-CN"/>
        </w:rPr>
        <w:t>鉴于当事人存在如下</w:t>
      </w:r>
      <w:r>
        <w:rPr>
          <w:rFonts w:hint="eastAsia" w:ascii="仿宋" w:hAnsi="仿宋" w:eastAsia="仿宋" w:cs="CESI仿宋-GB2312"/>
          <w:sz w:val="32"/>
          <w:szCs w:val="32"/>
          <w:lang w:val="en-US" w:eastAsia="zh-CN"/>
        </w:rPr>
        <w:t>3种</w:t>
      </w:r>
      <w:r>
        <w:rPr>
          <w:rFonts w:hint="eastAsia" w:ascii="仿宋" w:hAnsi="仿宋" w:eastAsia="仿宋" w:cs="CESI仿宋-GB2312"/>
          <w:sz w:val="32"/>
          <w:szCs w:val="32"/>
          <w:lang w:eastAsia="zh-CN"/>
        </w:rPr>
        <w:t>情形，</w:t>
      </w:r>
      <w:r>
        <w:rPr>
          <w:rFonts w:hint="eastAsia" w:ascii="仿宋" w:hAnsi="仿宋" w:eastAsia="仿宋" w:cs="CESI仿宋-GB2312"/>
          <w:sz w:val="32"/>
          <w:szCs w:val="32"/>
          <w:lang w:val="en-US" w:eastAsia="zh-CN"/>
        </w:rPr>
        <w:t>可从轻行政处罚。一是</w:t>
      </w:r>
      <w:r>
        <w:rPr>
          <w:rFonts w:hint="eastAsia" w:ascii="仿宋" w:hAnsi="仿宋" w:eastAsia="仿宋" w:cs="CESI仿宋-GB2312"/>
          <w:sz w:val="32"/>
          <w:szCs w:val="32"/>
          <w:lang w:eastAsia="zh-CN"/>
        </w:rPr>
        <w:t>在调查取证期间，积极配合调查，如实陈述了违法事实，主动提交了相应的证据材料；二是在与纪瓷美共同无证生产活动中，当事人仅提供了生产场所，未参与纪瓷美的现场生产管理，未提供生产操作人员、原材料、主要生产设备，在共同违法中起次要作用；三是五年内未存在因违反医疗器械管理法律法规被行政处罚的情况，系初次违法。</w:t>
      </w:r>
    </w:p>
    <w:p>
      <w:pPr>
        <w:pStyle w:val="5"/>
        <w:keepNext/>
        <w:keepLines w:val="0"/>
        <w:pageBreakBefore w:val="0"/>
        <w:widowControl w:val="0"/>
        <w:tabs>
          <w:tab w:val="left" w:pos="892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CESI仿宋-GB2312"/>
          <w:sz w:val="32"/>
          <w:szCs w:val="32"/>
          <w:lang w:val="en-US" w:eastAsia="zh-CN"/>
        </w:rPr>
      </w:pPr>
      <w:r>
        <w:rPr>
          <w:rFonts w:hint="eastAsia" w:ascii="仿宋_GB2312" w:hAnsi="仿宋_GB2312" w:eastAsia="仿宋_GB2312" w:cs="仿宋_GB2312"/>
          <w:sz w:val="32"/>
          <w:lang w:eastAsia="zh-CN"/>
        </w:rPr>
        <w:t>同时，当事人</w:t>
      </w:r>
      <w:r>
        <w:rPr>
          <w:rFonts w:ascii="仿宋_GB2312" w:hAnsi="仿宋_GB2312" w:eastAsia="仿宋_GB2312" w:cs="仿宋_GB2312"/>
          <w:sz w:val="32"/>
        </w:rPr>
        <w:t>生产条件发生变化、不再符合医疗器械质量管理体系要求</w:t>
      </w:r>
      <w:r>
        <w:rPr>
          <w:rFonts w:hint="eastAsia" w:ascii="仿宋_GB2312" w:hAnsi="仿宋_GB2312" w:eastAsia="仿宋_GB2312" w:cs="仿宋_GB2312"/>
          <w:sz w:val="32"/>
          <w:lang w:eastAsia="zh-CN"/>
        </w:rPr>
        <w:t>，</w:t>
      </w:r>
      <w:r>
        <w:rPr>
          <w:rFonts w:ascii="仿宋_GB2312" w:hAnsi="仿宋_GB2312" w:eastAsia="仿宋_GB2312" w:cs="仿宋_GB2312"/>
          <w:sz w:val="32"/>
        </w:rPr>
        <w:t>可能影响医疗器械安全、有效</w:t>
      </w:r>
      <w:r>
        <w:rPr>
          <w:rFonts w:hint="eastAsia" w:ascii="仿宋_GB2312" w:hAnsi="仿宋_GB2312" w:eastAsia="仿宋_GB2312" w:cs="仿宋_GB2312"/>
          <w:sz w:val="32"/>
          <w:lang w:eastAsia="zh-CN"/>
        </w:rPr>
        <w:t>的情况的行为，系其出租生产场所导致，与共同无证生产的违法行为有牵连关系，根据</w:t>
      </w:r>
      <w:r>
        <w:rPr>
          <w:rFonts w:hint="eastAsia" w:ascii="仿宋" w:hAnsi="仿宋" w:eastAsia="仿宋" w:cs="CESI仿宋-GB2312"/>
          <w:sz w:val="32"/>
          <w:szCs w:val="32"/>
          <w:lang w:eastAsia="zh-CN"/>
        </w:rPr>
        <w:t>《福建省药品监管行政处罚裁量适用细则》第十六条的规定，适用吸收原则，对当事人上述</w:t>
      </w:r>
      <w:r>
        <w:rPr>
          <w:rFonts w:hint="eastAsia" w:ascii="仿宋" w:hAnsi="仿宋" w:eastAsia="仿宋" w:cs="CESI仿宋-GB2312"/>
          <w:sz w:val="32"/>
          <w:szCs w:val="32"/>
          <w:lang w:val="en-US" w:eastAsia="zh-CN"/>
        </w:rPr>
        <w:t>2种违法行为中选择处罚较重的行为，即</w:t>
      </w:r>
      <w:r>
        <w:rPr>
          <w:rFonts w:hint="eastAsia" w:ascii="仿宋" w:hAnsi="仿宋" w:eastAsia="仿宋" w:cs="CESI仿宋-GB2312"/>
          <w:sz w:val="32"/>
          <w:szCs w:val="32"/>
          <w:lang w:eastAsia="zh-CN"/>
        </w:rPr>
        <w:t>与纪瓷美共同</w:t>
      </w:r>
      <w:r>
        <w:rPr>
          <w:rFonts w:hint="eastAsia" w:ascii="仿宋_GB2312" w:hAnsi="仿宋_GB2312" w:eastAsia="仿宋_GB2312" w:cs="仿宋_GB2312"/>
          <w:sz w:val="32"/>
          <w:lang w:eastAsia="zh-CN"/>
        </w:rPr>
        <w:t>无证生产</w:t>
      </w:r>
      <w:r>
        <w:rPr>
          <w:rFonts w:hint="eastAsia" w:ascii="仿宋" w:hAnsi="仿宋" w:eastAsia="仿宋" w:cs="CESI仿宋-GB2312"/>
          <w:sz w:val="32"/>
          <w:szCs w:val="32"/>
          <w:lang w:eastAsia="zh-CN"/>
        </w:rPr>
        <w:t>定制式固定义齿的违法行为进行处罚</w:t>
      </w:r>
      <w:r>
        <w:rPr>
          <w:rFonts w:hint="eastAsia" w:ascii="仿宋" w:hAnsi="仿宋" w:eastAsia="仿宋" w:cs="CESI仿宋-GB2312"/>
          <w:sz w:val="32"/>
          <w:szCs w:val="32"/>
          <w:lang w:val="en-US" w:eastAsia="zh-CN"/>
        </w:rPr>
        <w:t>。</w:t>
      </w:r>
    </w:p>
    <w:p>
      <w:pPr>
        <w:keepNext/>
        <w:keepLines w:val="0"/>
        <w:pageBreakBefore w:val="0"/>
        <w:widowControl/>
        <w:kinsoku/>
        <w:wordWrap w:val="0"/>
        <w:overflowPunct/>
        <w:topLinePunct/>
        <w:autoSpaceDE/>
        <w:autoSpaceDN/>
        <w:bidi w:val="0"/>
        <w:adjustRightInd/>
        <w:spacing w:line="540" w:lineRule="exact"/>
        <w:ind w:left="0" w:leftChars="0" w:right="0" w:firstLine="640" w:firstLineChars="200"/>
        <w:jc w:val="both"/>
        <w:textAlignment w:val="auto"/>
        <w:rPr>
          <w:rFonts w:hint="eastAsia" w:ascii="仿宋" w:hAnsi="仿宋" w:eastAsia="仿宋" w:cs="CESI仿宋-GB2312"/>
          <w:sz w:val="32"/>
          <w:szCs w:val="32"/>
          <w:lang w:eastAsia="zh-CN"/>
        </w:rPr>
      </w:pPr>
      <w:r>
        <w:rPr>
          <w:rFonts w:hint="eastAsia" w:ascii="华文仿宋" w:hAnsi="华文仿宋" w:eastAsia="华文仿宋"/>
          <w:color w:val="231F20"/>
          <w:sz w:val="32"/>
          <w:szCs w:val="32"/>
          <w:u w:val="none" w:color="auto"/>
          <w:lang w:eastAsia="zh-CN"/>
        </w:rPr>
        <w:t>综上，</w:t>
      </w:r>
      <w:bookmarkStart w:id="1" w:name="_Hlk18882991"/>
      <w:r>
        <w:rPr>
          <w:rFonts w:hint="eastAsia" w:ascii="Times New Roman" w:hAnsi="Times New Roman" w:eastAsia="仿宋_GB2312" w:cs="仿宋"/>
          <w:sz w:val="32"/>
          <w:szCs w:val="32"/>
          <w:lang w:eastAsia="zh-CN"/>
        </w:rPr>
        <w:t>依据</w:t>
      </w:r>
      <w:r>
        <w:rPr>
          <w:rFonts w:hint="eastAsia" w:ascii="仿宋" w:hAnsi="仿宋" w:eastAsia="仿宋" w:cs="CESI仿宋-GB2312"/>
          <w:sz w:val="32"/>
          <w:szCs w:val="32"/>
          <w:lang w:eastAsia="zh-CN"/>
        </w:rPr>
        <w:t>《医疗器械监督管理条例》第八十一条第一款第一项、第二项、第八十八条第一项、</w:t>
      </w:r>
      <w:r>
        <w:rPr>
          <w:rFonts w:hint="eastAsia" w:ascii="仿宋" w:hAnsi="仿宋" w:eastAsia="仿宋" w:cs="仿宋"/>
          <w:sz w:val="32"/>
          <w:szCs w:val="32"/>
          <w:lang w:eastAsia="zh-CN"/>
        </w:rPr>
        <w:t>《中华人民共和国行政处罚法》第二十八条第一款、</w:t>
      </w:r>
      <w:r>
        <w:rPr>
          <w:rFonts w:hint="eastAsia" w:ascii="仿宋" w:hAnsi="仿宋" w:eastAsia="仿宋" w:cs="CESI仿宋-GB2312"/>
          <w:sz w:val="32"/>
          <w:szCs w:val="32"/>
          <w:lang w:eastAsia="zh-CN"/>
        </w:rPr>
        <w:t>《福建省药品监管行政处罚裁量适用细则》第十一条第一款第二项、第五项、第七项、第十六条的规定</w:t>
      </w:r>
      <w:r>
        <w:rPr>
          <w:rFonts w:hint="eastAsia" w:ascii="Times New Roman" w:hAnsi="Times New Roman" w:eastAsia="仿宋_GB2312" w:cs="仿宋"/>
          <w:sz w:val="32"/>
          <w:szCs w:val="32"/>
          <w:lang w:eastAsia="zh-CN"/>
        </w:rPr>
        <w:t>，</w:t>
      </w:r>
      <w:r>
        <w:rPr>
          <w:rFonts w:hint="eastAsia" w:ascii="仿宋" w:hAnsi="仿宋" w:eastAsia="仿宋" w:cs="CESI仿宋-GB2312"/>
          <w:sz w:val="32"/>
          <w:szCs w:val="32"/>
          <w:lang w:eastAsia="zh-CN"/>
        </w:rPr>
        <w:t>对当事人与纪瓷美</w:t>
      </w:r>
      <w:r>
        <w:rPr>
          <w:rFonts w:hint="eastAsia" w:ascii="仿宋_GB2312" w:hAnsi="仿宋_GB2312" w:eastAsia="仿宋_GB2312" w:cs="仿宋_GB2312"/>
          <w:sz w:val="32"/>
          <w:lang w:eastAsia="zh-CN"/>
        </w:rPr>
        <w:t>共同构成</w:t>
      </w:r>
      <w:r>
        <w:rPr>
          <w:rFonts w:hint="eastAsia" w:ascii="仿宋" w:hAnsi="仿宋" w:eastAsia="仿宋" w:cs="CESI仿宋-GB2312"/>
          <w:sz w:val="32"/>
          <w:szCs w:val="32"/>
          <w:lang w:eastAsia="zh-CN"/>
        </w:rPr>
        <w:t>未经许可生产无注册证定制式固定义齿的违法行为按从轻处罚等级进行量罚，处货值金额</w:t>
      </w:r>
      <w:r>
        <w:rPr>
          <w:rFonts w:hint="eastAsia" w:ascii="仿宋" w:hAnsi="仿宋" w:eastAsia="仿宋" w:cs="CESI仿宋-GB2312"/>
          <w:sz w:val="32"/>
          <w:szCs w:val="32"/>
          <w:lang w:val="en-US" w:eastAsia="zh-CN"/>
        </w:rPr>
        <w:t>15倍罚款，即罚款1083000元，而当事人</w:t>
      </w:r>
      <w:r>
        <w:rPr>
          <w:rFonts w:hint="eastAsia" w:ascii="仿宋" w:hAnsi="仿宋" w:eastAsia="仿宋" w:cs="CESI仿宋-GB2312"/>
          <w:sz w:val="32"/>
          <w:szCs w:val="32"/>
          <w:lang w:eastAsia="zh-CN"/>
        </w:rPr>
        <w:t>按</w:t>
      </w:r>
      <w:r>
        <w:rPr>
          <w:rFonts w:hint="eastAsia" w:ascii="仿宋" w:hAnsi="仿宋" w:eastAsia="仿宋" w:cs="CESI仿宋-GB2312"/>
          <w:sz w:val="32"/>
          <w:szCs w:val="32"/>
          <w:lang w:val="en-US" w:eastAsia="zh-CN"/>
        </w:rPr>
        <w:t>20%比例</w:t>
      </w:r>
      <w:r>
        <w:rPr>
          <w:rFonts w:hint="eastAsia" w:ascii="仿宋" w:hAnsi="仿宋" w:eastAsia="仿宋" w:cs="CESI仿宋-GB2312"/>
          <w:sz w:val="32"/>
          <w:szCs w:val="32"/>
          <w:lang w:eastAsia="zh-CN"/>
        </w:rPr>
        <w:t>承担</w:t>
      </w:r>
      <w:r>
        <w:rPr>
          <w:rFonts w:hint="eastAsia" w:ascii="仿宋" w:hAnsi="仿宋" w:eastAsia="仿宋" w:cs="CESI仿宋-GB2312"/>
          <w:sz w:val="32"/>
          <w:szCs w:val="32"/>
          <w:lang w:val="en-US" w:eastAsia="zh-CN"/>
        </w:rPr>
        <w:t>罚款，即</w:t>
      </w:r>
      <w:r>
        <w:rPr>
          <w:rFonts w:hint="eastAsia" w:ascii="仿宋" w:hAnsi="仿宋" w:eastAsia="仿宋" w:cs="CESI仿宋-GB2312"/>
          <w:sz w:val="32"/>
          <w:szCs w:val="32"/>
          <w:lang w:eastAsia="zh-CN"/>
        </w:rPr>
        <w:t>对当事人处理如下：</w:t>
      </w:r>
    </w:p>
    <w:p>
      <w:pPr>
        <w:keepNext/>
        <w:keepLines w:val="0"/>
        <w:pageBreakBefore w:val="0"/>
        <w:widowControl/>
        <w:numPr>
          <w:ilvl w:val="0"/>
          <w:numId w:val="1"/>
        </w:numPr>
        <w:kinsoku/>
        <w:wordWrap w:val="0"/>
        <w:overflowPunct/>
        <w:topLinePunct/>
        <w:autoSpaceDE/>
        <w:autoSpaceDN/>
        <w:bidi w:val="0"/>
        <w:adjustRightInd/>
        <w:spacing w:line="540" w:lineRule="exact"/>
        <w:ind w:left="0" w:leftChars="0" w:right="0" w:firstLine="640" w:firstLineChars="200"/>
        <w:jc w:val="both"/>
        <w:textAlignment w:val="auto"/>
        <w:rPr>
          <w:rFonts w:hint="eastAsia" w:ascii="仿宋" w:hAnsi="仿宋" w:eastAsia="仿宋" w:cs="CESI仿宋-GB2312"/>
          <w:sz w:val="32"/>
          <w:szCs w:val="32"/>
          <w:lang w:eastAsia="zh-CN"/>
        </w:rPr>
      </w:pPr>
      <w:r>
        <w:rPr>
          <w:rFonts w:hint="eastAsia" w:ascii="仿宋" w:hAnsi="仿宋" w:eastAsia="仿宋" w:cs="CESI仿宋-GB2312"/>
          <w:sz w:val="32"/>
          <w:szCs w:val="32"/>
          <w:lang w:eastAsia="zh-CN"/>
        </w:rPr>
        <w:t>责令改正违法行为；</w:t>
      </w:r>
    </w:p>
    <w:p>
      <w:pPr>
        <w:keepNext/>
        <w:keepLines w:val="0"/>
        <w:pageBreakBefore w:val="0"/>
        <w:widowControl/>
        <w:numPr>
          <w:ilvl w:val="0"/>
          <w:numId w:val="1"/>
        </w:numPr>
        <w:kinsoku/>
        <w:wordWrap w:val="0"/>
        <w:overflowPunct/>
        <w:topLinePunct/>
        <w:autoSpaceDE/>
        <w:autoSpaceDN/>
        <w:bidi w:val="0"/>
        <w:adjustRightInd/>
        <w:spacing w:line="540" w:lineRule="exact"/>
        <w:ind w:left="0" w:leftChars="0" w:right="0" w:firstLine="640" w:firstLineChars="200"/>
        <w:jc w:val="both"/>
        <w:textAlignment w:val="auto"/>
        <w:rPr>
          <w:rFonts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没收违法所得</w:t>
      </w:r>
      <w:r>
        <w:rPr>
          <w:rFonts w:hint="eastAsia" w:ascii="CESI仿宋-GB2312" w:hAnsi="CESI仿宋-GB2312" w:eastAsia="CESI仿宋-GB2312" w:cs="CESI仿宋-GB2312"/>
          <w:sz w:val="32"/>
          <w:szCs w:val="32"/>
          <w:lang w:val="en-US" w:eastAsia="zh-CN"/>
        </w:rPr>
        <w:t>240000元（贰拾肆万元整）；</w:t>
      </w:r>
    </w:p>
    <w:p>
      <w:pPr>
        <w:keepNext/>
        <w:keepLines w:val="0"/>
        <w:pageBreakBefore w:val="0"/>
        <w:widowControl/>
        <w:numPr>
          <w:ilvl w:val="0"/>
          <w:numId w:val="1"/>
        </w:numPr>
        <w:kinsoku/>
        <w:wordWrap w:val="0"/>
        <w:overflowPunct/>
        <w:topLinePunct/>
        <w:autoSpaceDE/>
        <w:autoSpaceDN/>
        <w:bidi w:val="0"/>
        <w:adjustRightInd/>
        <w:spacing w:line="540" w:lineRule="exact"/>
        <w:ind w:left="0" w:leftChars="0" w:right="0" w:firstLine="640" w:firstLineChars="200"/>
        <w:jc w:val="both"/>
        <w:textAlignment w:val="auto"/>
        <w:rPr>
          <w:rFonts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罚款216600元（贰拾壹万陆仟陆佰元整）。</w:t>
      </w:r>
    </w:p>
    <w:p>
      <w:pPr>
        <w:pStyle w:val="5"/>
        <w:keepNext/>
        <w:keepLines w:val="0"/>
        <w:pageBreakBefore w:val="0"/>
        <w:widowControl w:val="0"/>
        <w:tabs>
          <w:tab w:val="left" w:pos="8964"/>
        </w:tabs>
        <w:kinsoku/>
        <w:wordWrap/>
        <w:overflowPunct/>
        <w:topLinePunct w:val="0"/>
        <w:autoSpaceDE/>
        <w:autoSpaceDN/>
        <w:bidi w:val="0"/>
        <w:spacing w:line="560" w:lineRule="exact"/>
        <w:ind w:left="0" w:firstLine="640" w:firstLineChars="200"/>
        <w:jc w:val="both"/>
        <w:textAlignment w:val="auto"/>
        <w:rPr>
          <w:rFonts w:ascii="仿宋" w:hAnsi="仿宋" w:eastAsia="仿宋" w:cs="仿宋"/>
          <w:lang w:eastAsia="zh-CN"/>
        </w:rPr>
      </w:pPr>
      <w:r>
        <w:rPr>
          <w:rFonts w:hint="eastAsia" w:ascii="仿宋" w:hAnsi="仿宋" w:eastAsia="仿宋" w:cs="CESI仿宋-GB2312"/>
          <w:sz w:val="32"/>
          <w:szCs w:val="32"/>
          <w:lang w:eastAsia="zh-CN"/>
        </w:rPr>
        <w:t>上述罚没款合计</w:t>
      </w:r>
      <w:r>
        <w:rPr>
          <w:rFonts w:hint="eastAsia" w:ascii="仿宋" w:hAnsi="仿宋" w:eastAsia="仿宋" w:cs="CESI仿宋-GB2312"/>
          <w:sz w:val="32"/>
          <w:szCs w:val="32"/>
          <w:lang w:val="en-US" w:eastAsia="zh-CN"/>
        </w:rPr>
        <w:t>456600</w:t>
      </w:r>
      <w:r>
        <w:rPr>
          <w:rFonts w:hint="eastAsia" w:ascii="仿宋" w:hAnsi="仿宋" w:eastAsia="仿宋" w:cs="CESI仿宋-GB2312"/>
          <w:sz w:val="32"/>
          <w:szCs w:val="32"/>
          <w:lang w:eastAsia="zh-CN"/>
        </w:rPr>
        <w:t>元（肆拾伍万陆仟陆佰元整）。</w:t>
      </w:r>
    </w:p>
    <w:bookmarkEnd w:id="1"/>
    <w:p>
      <w:pPr>
        <w:keepNext/>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cs="仿宋"/>
          <w:kern w:val="1"/>
          <w:sz w:val="32"/>
          <w:szCs w:val="32"/>
          <w:lang w:eastAsia="zh-CN"/>
        </w:rPr>
      </w:pPr>
      <w:r>
        <w:rPr>
          <w:rFonts w:hint="eastAsia" w:ascii="仿宋" w:hAnsi="仿宋" w:eastAsia="仿宋" w:cs="仿宋"/>
          <w:kern w:val="1"/>
          <w:sz w:val="32"/>
          <w:szCs w:val="32"/>
          <w:lang w:eastAsia="zh-CN"/>
        </w:rPr>
        <w:t>当事人应自接到本行政处罚决定之日起15日内缴纳上述罚没款。根据我</w:t>
      </w:r>
      <w:r>
        <w:rPr>
          <w:rFonts w:hint="eastAsia" w:ascii="Times New Roman" w:hAnsi="Times New Roman" w:eastAsia="仿宋_GB2312" w:cs="仿宋"/>
          <w:color w:val="000000"/>
          <w:sz w:val="32"/>
          <w:szCs w:val="32"/>
          <w:lang w:eastAsia="zh-CN"/>
        </w:rPr>
        <w:t>局厦门药品稽查办</w:t>
      </w:r>
      <w:r>
        <w:rPr>
          <w:rFonts w:hint="eastAsia" w:ascii="仿宋" w:hAnsi="仿宋" w:eastAsia="仿宋" w:cs="仿宋"/>
          <w:kern w:val="1"/>
          <w:sz w:val="32"/>
          <w:szCs w:val="32"/>
          <w:lang w:eastAsia="zh-CN"/>
        </w:rPr>
        <w:t xml:space="preserve">开具的行政处罚缴款通知书，当事人自行选择缴款方式。逾期不缴纳罚款的，依据《行政处罚法》第七十二条的规定，我局将每日按罚款数额的百分之三加处罚款，并依法申请人民法院强制执行。 </w:t>
      </w:r>
    </w:p>
    <w:p>
      <w:pPr>
        <w:keepNext/>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cs="仿宋"/>
          <w:sz w:val="32"/>
          <w:szCs w:val="32"/>
          <w:lang w:eastAsia="zh-CN"/>
        </w:rPr>
      </w:pPr>
      <w:r>
        <w:rPr>
          <w:rFonts w:hint="eastAsia" w:ascii="仿宋" w:hAnsi="仿宋" w:eastAsia="仿宋" w:cs="仿宋"/>
          <w:color w:val="000000"/>
          <w:sz w:val="32"/>
          <w:szCs w:val="32"/>
          <w:lang w:eastAsia="zh-CN"/>
        </w:rPr>
        <w:t>当事人如不服本行政处罚决定，可以在收到本行政处罚决定书之日起六十日内向福建省人民政府申请行政复议，也可以在六个月内依法向福州市鼓楼区人民法院提起行政诉讼。申请行政复议或者提起行政诉讼期间，行政处罚不停止执行。</w:t>
      </w:r>
    </w:p>
    <w:p>
      <w:pPr>
        <w:keepNext/>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仿宋" w:hAnsi="仿宋" w:eastAsia="仿宋" w:cs="仿宋"/>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仿宋" w:hAnsi="仿宋" w:eastAsia="仿宋" w:cs="仿宋"/>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560" w:lineRule="exact"/>
        <w:ind w:firstLine="4160" w:firstLineChars="1300"/>
        <w:jc w:val="both"/>
        <w:textAlignment w:val="auto"/>
        <w:rPr>
          <w:rFonts w:ascii="Times New Roman" w:hAnsi="Times New Roman" w:eastAsia="仿宋_GB2312" w:cs="仿宋"/>
          <w:color w:val="000000"/>
          <w:sz w:val="32"/>
          <w:szCs w:val="32"/>
          <w:lang w:eastAsia="zh-CN"/>
        </w:rPr>
      </w:pPr>
      <w:r>
        <w:rPr>
          <w:rFonts w:hint="eastAsia" w:ascii="Times New Roman" w:hAnsi="Times New Roman" w:eastAsia="仿宋_GB2312" w:cs="仿宋"/>
          <w:color w:val="000000"/>
          <w:sz w:val="32"/>
          <w:szCs w:val="32"/>
          <w:lang w:eastAsia="zh-CN"/>
        </w:rPr>
        <w:t xml:space="preserve"> 福建省药品监督管理局</w:t>
      </w:r>
      <w:r>
        <w:rPr>
          <w:rFonts w:hint="eastAsia" w:ascii="仿宋" w:hAnsi="仿宋" w:eastAsia="仿宋" w:cs="仿宋"/>
          <w:sz w:val="32"/>
          <w:szCs w:val="32"/>
          <w:lang w:eastAsia="zh-CN"/>
        </w:rPr>
        <w:t xml:space="preserve"> </w:t>
      </w:r>
    </w:p>
    <w:p>
      <w:pPr>
        <w:keepNext/>
        <w:keepLines w:val="0"/>
        <w:pageBreakBefore w:val="0"/>
        <w:widowControl w:val="0"/>
        <w:kinsoku/>
        <w:wordWrap/>
        <w:overflowPunct/>
        <w:topLinePunct w:val="0"/>
        <w:autoSpaceDE/>
        <w:autoSpaceDN/>
        <w:bidi w:val="0"/>
        <w:adjustRightInd w:val="0"/>
        <w:snapToGrid w:val="0"/>
        <w:spacing w:line="560" w:lineRule="exact"/>
        <w:ind w:firstLine="4800" w:firstLineChars="15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23</w:t>
      </w:r>
      <w:r>
        <w:rPr>
          <w:rFonts w:hint="eastAsia" w:ascii="仿宋" w:hAnsi="仿宋" w:eastAsia="仿宋" w:cs="仿宋"/>
          <w:sz w:val="32"/>
          <w:szCs w:val="32"/>
          <w:lang w:eastAsia="zh-CN"/>
        </w:rPr>
        <w:t>日</w:t>
      </w:r>
    </w:p>
    <w:p>
      <w:pPr>
        <w:keepNext/>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lang w:eastAsia="zh-CN"/>
        </w:rPr>
      </w:pPr>
    </w:p>
    <w:p>
      <w:pPr>
        <w:keepNext/>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仿宋" w:hAnsi="仿宋" w:eastAsia="仿宋" w:cs="仿宋"/>
          <w:sz w:val="32"/>
          <w:szCs w:val="32"/>
          <w:lang w:eastAsia="zh-CN"/>
        </w:rPr>
      </w:pPr>
      <w:r>
        <w:rPr>
          <w:rFonts w:hint="eastAsia" w:ascii="黑体" w:hAnsi="黑体" w:eastAsia="黑体" w:cs="黑体"/>
          <w:sz w:val="32"/>
          <w:szCs w:val="32"/>
          <w:lang w:eastAsia="zh-CN"/>
        </w:rPr>
        <w:t>（药品监督管理部门将依法向社会公示本行政处罚决定信息）</w:t>
      </w:r>
    </w:p>
    <w:p>
      <w:pPr>
        <w:keepNext/>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华文仿宋" w:hAnsi="华文仿宋" w:eastAsia="华文仿宋"/>
          <w:sz w:val="32"/>
          <w:szCs w:val="32"/>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2" name="直接连接符 2"/>
                <wp:cNvGraphicFramePr/>
                <a:graphic xmlns:a="http://schemas.openxmlformats.org/drawingml/2006/main">
                  <a:graphicData uri="http://schemas.microsoft.com/office/word/2010/wordprocessingShape">
                    <wps:wsp>
                      <wps:cNvCnPr/>
                      <wps:spPr>
                        <a:xfrm flipV="true">
                          <a:off x="1097280" y="7673340"/>
                          <a:ext cx="5681345" cy="88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5pt;margin-top:2.3pt;height:0.7pt;width:447.35pt;z-index:251659264;mso-width-relative:page;mso-height-relative:page;" filled="f" stroked="t" coordsize="21600,21600" o:gfxdata="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XU4bVAAAABgEAAA8AAAAAAAAAAQAgAAAAOAAAAGRycy9kb3ducmV2LnhtbFBL&#10;AQIUABQAAAAIAIdO4kCKK+Vg4wEAAIADAAAOAAAAAAAAAAEAIAAAADoBAABkcnMvZTJvRG9jLnht&#10;bFBLBQYAAAAABgAGAFkBAACPBQAAAAA=&#10;">
                <v:fill on="f" focussize="0,0"/>
                <v:stroke weight="1.5pt" color="#000000 [3213]" miterlimit="8" joinstyle="miter"/>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vv85HXAAAACgEAAA8AAAAAAAAAAQAgAAAAOAAAAGRycy9kb3ducmV2LnhtbFBLAQIUABQA&#10;AAAIAIdO4kCuYTgP2wEAAJsDAAAOAAAAAAAAAAEAIAAAADw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lang w:eastAsia="zh-CN"/>
        </w:rPr>
        <w:t>本文书一式</w:t>
      </w:r>
      <w:r>
        <w:rPr>
          <w:rFonts w:hint="eastAsia" w:ascii="Times New Roman" w:hAnsi="Times New Roman" w:eastAsia="仿宋_GB2312" w:cs="仿宋"/>
          <w:color w:val="000000"/>
          <w:sz w:val="32"/>
          <w:szCs w:val="32"/>
          <w:u w:val="single"/>
          <w:lang w:val="en-US" w:eastAsia="zh-CN"/>
        </w:rPr>
        <w:t>三</w:t>
      </w:r>
      <w:r>
        <w:rPr>
          <w:rFonts w:hint="eastAsia" w:ascii="Times New Roman" w:hAnsi="Times New Roman" w:eastAsia="仿宋_GB2312" w:cs="仿宋"/>
          <w:color w:val="000000"/>
          <w:sz w:val="32"/>
          <w:szCs w:val="32"/>
          <w:lang w:eastAsia="zh-CN"/>
        </w:rPr>
        <w:t>份，</w:t>
      </w:r>
      <w:r>
        <w:rPr>
          <w:rFonts w:hint="eastAsia" w:ascii="Times New Roman" w:hAnsi="Times New Roman" w:eastAsia="仿宋_GB2312" w:cs="仿宋"/>
          <w:color w:val="000000"/>
          <w:sz w:val="32"/>
          <w:szCs w:val="32"/>
          <w:u w:val="single"/>
          <w:lang w:val="en-US" w:eastAsia="zh-CN"/>
        </w:rPr>
        <w:t>二</w:t>
      </w:r>
      <w:r>
        <w:rPr>
          <w:rFonts w:hint="eastAsia" w:ascii="Times New Roman" w:hAnsi="Times New Roman" w:eastAsia="仿宋_GB2312" w:cs="仿宋"/>
          <w:color w:val="000000"/>
          <w:sz w:val="32"/>
          <w:szCs w:val="32"/>
          <w:lang w:eastAsia="zh-CN"/>
        </w:rPr>
        <w:t>份送达，</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lang w:eastAsia="zh-CN"/>
        </w:rPr>
        <w:t>份归档。</w:t>
      </w:r>
    </w:p>
    <w:sectPr>
      <w:headerReference r:id="rId3" w:type="default"/>
      <w:footerReference r:id="rId4" w:type="default"/>
      <w:pgSz w:w="11906" w:h="16838"/>
      <w:pgMar w:top="1984" w:right="1655" w:bottom="1984" w:left="165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altName w:val="方正仿宋_GBK"/>
    <w:panose1 w:val="02000500000000000000"/>
    <w:charset w:val="86"/>
    <w:family w:val="auto"/>
    <w:pitch w:val="default"/>
    <w:sig w:usb0="00000000" w:usb1="00000000" w:usb2="00000010" w:usb3="00000000" w:csb0="0004000F" w:csb1="00000000"/>
  </w:font>
  <w:font w:name="Mongolian Baiti">
    <w:altName w:val="DejaVu Math TeX Gyre"/>
    <w:panose1 w:val="03000500000000000000"/>
    <w:charset w:val="00"/>
    <w:family w:val="script"/>
    <w:pitch w:val="default"/>
    <w:sig w:usb0="00000000" w:usb1="00000000" w:usb2="00020000" w:usb3="00000000" w:csb0="00000001" w:csb1="00000000"/>
  </w:font>
  <w:font w:name="华文仿宋">
    <w:altName w:val="汉仪仿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楷体" w:hAnsi="楷体" w:eastAsia="楷体" w:cs="楷体"/>
                              <w:sz w:val="24"/>
                              <w:szCs w:val="24"/>
                              <w:lang w:eastAsia="zh-CN"/>
                            </w:rPr>
                          </w:pPr>
                          <w:r>
                            <w:rPr>
                              <w:rFonts w:hint="eastAsia" w:ascii="楷体" w:hAnsi="楷体" w:eastAsia="楷体" w:cs="楷体"/>
                              <w:sz w:val="24"/>
                              <w:szCs w:val="24"/>
                              <w:lang w:eastAsia="zh-CN"/>
                            </w:rPr>
                            <w:t xml:space="preserve">第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PAGE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1</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 共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NUMPAGES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5</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rPr>
                        <w:rFonts w:ascii="楷体" w:hAnsi="楷体" w:eastAsia="楷体" w:cs="楷体"/>
                        <w:sz w:val="24"/>
                        <w:szCs w:val="24"/>
                        <w:lang w:eastAsia="zh-CN"/>
                      </w:rPr>
                    </w:pPr>
                    <w:r>
                      <w:rPr>
                        <w:rFonts w:hint="eastAsia" w:ascii="楷体" w:hAnsi="楷体" w:eastAsia="楷体" w:cs="楷体"/>
                        <w:sz w:val="24"/>
                        <w:szCs w:val="24"/>
                        <w:lang w:eastAsia="zh-CN"/>
                      </w:rPr>
                      <w:t xml:space="preserve">第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PAGE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1</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 共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NUMPAGES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5</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w:t>
                    </w:r>
                  </w:p>
                </w:txbxContent>
              </v:textbox>
            </v:shape>
          </w:pict>
        </mc:Fallback>
      </mc:AlternateContent>
    </w:r>
  </w:p>
  <w:p>
    <w:pPr>
      <w:spacing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55D19"/>
    <w:multiLevelType w:val="singleLevel"/>
    <w:tmpl w:val="C5755D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NDc0ZTdlY2Q3ZmIyNjY4ZDNmMDJiZjUzZWI3ZDEifQ=="/>
  </w:docVars>
  <w:rsids>
    <w:rsidRoot w:val="65083047"/>
    <w:rsid w:val="000076F9"/>
    <w:rsid w:val="0006104D"/>
    <w:rsid w:val="000D4ED6"/>
    <w:rsid w:val="00116858"/>
    <w:rsid w:val="001304C9"/>
    <w:rsid w:val="00131C43"/>
    <w:rsid w:val="00167354"/>
    <w:rsid w:val="001A7F21"/>
    <w:rsid w:val="002116B8"/>
    <w:rsid w:val="0025046F"/>
    <w:rsid w:val="00263E90"/>
    <w:rsid w:val="002741C6"/>
    <w:rsid w:val="0027556E"/>
    <w:rsid w:val="002A63D8"/>
    <w:rsid w:val="003166B6"/>
    <w:rsid w:val="003B6887"/>
    <w:rsid w:val="003E348E"/>
    <w:rsid w:val="00446077"/>
    <w:rsid w:val="00454615"/>
    <w:rsid w:val="00471CC8"/>
    <w:rsid w:val="00485D2C"/>
    <w:rsid w:val="004959EC"/>
    <w:rsid w:val="004A57E3"/>
    <w:rsid w:val="004C2977"/>
    <w:rsid w:val="004C778F"/>
    <w:rsid w:val="004E2DA8"/>
    <w:rsid w:val="00552693"/>
    <w:rsid w:val="00574575"/>
    <w:rsid w:val="005A3D4D"/>
    <w:rsid w:val="005F005D"/>
    <w:rsid w:val="00601D60"/>
    <w:rsid w:val="00602905"/>
    <w:rsid w:val="00626B14"/>
    <w:rsid w:val="00662FBC"/>
    <w:rsid w:val="006A4F29"/>
    <w:rsid w:val="006D284D"/>
    <w:rsid w:val="006D2A5A"/>
    <w:rsid w:val="006E4D97"/>
    <w:rsid w:val="0070688E"/>
    <w:rsid w:val="00720F39"/>
    <w:rsid w:val="007251DD"/>
    <w:rsid w:val="00725E00"/>
    <w:rsid w:val="0074353E"/>
    <w:rsid w:val="00752531"/>
    <w:rsid w:val="00760359"/>
    <w:rsid w:val="007A2C29"/>
    <w:rsid w:val="007E02EA"/>
    <w:rsid w:val="007E6A8B"/>
    <w:rsid w:val="00821991"/>
    <w:rsid w:val="008939C3"/>
    <w:rsid w:val="008F6356"/>
    <w:rsid w:val="00964871"/>
    <w:rsid w:val="009F61DD"/>
    <w:rsid w:val="00A91175"/>
    <w:rsid w:val="00A96F98"/>
    <w:rsid w:val="00AD1ABB"/>
    <w:rsid w:val="00AD1FD2"/>
    <w:rsid w:val="00AD4044"/>
    <w:rsid w:val="00B33BB6"/>
    <w:rsid w:val="00B72F4A"/>
    <w:rsid w:val="00B8717D"/>
    <w:rsid w:val="00BB32A5"/>
    <w:rsid w:val="00BE1004"/>
    <w:rsid w:val="00BE65B9"/>
    <w:rsid w:val="00BF2CAD"/>
    <w:rsid w:val="00C016B4"/>
    <w:rsid w:val="00C3486B"/>
    <w:rsid w:val="00C401EC"/>
    <w:rsid w:val="00C63AA4"/>
    <w:rsid w:val="00C73DC0"/>
    <w:rsid w:val="00C752BA"/>
    <w:rsid w:val="00C92CD4"/>
    <w:rsid w:val="00D215DC"/>
    <w:rsid w:val="00DC3181"/>
    <w:rsid w:val="00E667E6"/>
    <w:rsid w:val="00E86828"/>
    <w:rsid w:val="00F14D4C"/>
    <w:rsid w:val="00F16745"/>
    <w:rsid w:val="00F44D0A"/>
    <w:rsid w:val="00F70D44"/>
    <w:rsid w:val="00FB037D"/>
    <w:rsid w:val="00FF1004"/>
    <w:rsid w:val="015934D7"/>
    <w:rsid w:val="01A8244A"/>
    <w:rsid w:val="02CD7174"/>
    <w:rsid w:val="034A3DC8"/>
    <w:rsid w:val="035A132A"/>
    <w:rsid w:val="03B355F1"/>
    <w:rsid w:val="03E55970"/>
    <w:rsid w:val="042E2A02"/>
    <w:rsid w:val="04344C2B"/>
    <w:rsid w:val="04E451DA"/>
    <w:rsid w:val="06790CB6"/>
    <w:rsid w:val="06E6710D"/>
    <w:rsid w:val="06EE5CCB"/>
    <w:rsid w:val="083E26EA"/>
    <w:rsid w:val="08857A68"/>
    <w:rsid w:val="08BF6C7F"/>
    <w:rsid w:val="08C734B5"/>
    <w:rsid w:val="08E944DC"/>
    <w:rsid w:val="095927AF"/>
    <w:rsid w:val="099E1C5B"/>
    <w:rsid w:val="0A63496D"/>
    <w:rsid w:val="0B004811"/>
    <w:rsid w:val="0B5510ED"/>
    <w:rsid w:val="0C92070D"/>
    <w:rsid w:val="0D8D45A5"/>
    <w:rsid w:val="0E201293"/>
    <w:rsid w:val="10684A8D"/>
    <w:rsid w:val="108A2A97"/>
    <w:rsid w:val="10CC60DE"/>
    <w:rsid w:val="11350FA8"/>
    <w:rsid w:val="11801AD2"/>
    <w:rsid w:val="125E451D"/>
    <w:rsid w:val="12AE37FC"/>
    <w:rsid w:val="13302FAF"/>
    <w:rsid w:val="135A11F5"/>
    <w:rsid w:val="1378469B"/>
    <w:rsid w:val="145C39AA"/>
    <w:rsid w:val="1507562D"/>
    <w:rsid w:val="155E61A6"/>
    <w:rsid w:val="156A785C"/>
    <w:rsid w:val="160363E3"/>
    <w:rsid w:val="16E77445"/>
    <w:rsid w:val="16EF7882"/>
    <w:rsid w:val="17245BED"/>
    <w:rsid w:val="172A59C2"/>
    <w:rsid w:val="174674B3"/>
    <w:rsid w:val="17605138"/>
    <w:rsid w:val="17827FBC"/>
    <w:rsid w:val="178F1F46"/>
    <w:rsid w:val="17C027FA"/>
    <w:rsid w:val="18C25926"/>
    <w:rsid w:val="194F21F4"/>
    <w:rsid w:val="19D36623"/>
    <w:rsid w:val="1A631159"/>
    <w:rsid w:val="1AF82902"/>
    <w:rsid w:val="1B491A7F"/>
    <w:rsid w:val="1B7A4A7B"/>
    <w:rsid w:val="1BA432ED"/>
    <w:rsid w:val="1BFA1379"/>
    <w:rsid w:val="1CDF37E5"/>
    <w:rsid w:val="1CE02C2B"/>
    <w:rsid w:val="1D034CB0"/>
    <w:rsid w:val="1D0D6A2F"/>
    <w:rsid w:val="1D29078C"/>
    <w:rsid w:val="1D8D1B36"/>
    <w:rsid w:val="1DC837D0"/>
    <w:rsid w:val="1E590AAC"/>
    <w:rsid w:val="1F0027C9"/>
    <w:rsid w:val="1F0D61FF"/>
    <w:rsid w:val="1F620DA6"/>
    <w:rsid w:val="1F625378"/>
    <w:rsid w:val="1F730535"/>
    <w:rsid w:val="1FF62F16"/>
    <w:rsid w:val="200F180C"/>
    <w:rsid w:val="207B67D9"/>
    <w:rsid w:val="208715FC"/>
    <w:rsid w:val="20C56CD5"/>
    <w:rsid w:val="20FD5C4D"/>
    <w:rsid w:val="21294C5D"/>
    <w:rsid w:val="2172545D"/>
    <w:rsid w:val="23524232"/>
    <w:rsid w:val="239902C6"/>
    <w:rsid w:val="23AB01E1"/>
    <w:rsid w:val="23E800D8"/>
    <w:rsid w:val="23FA2718"/>
    <w:rsid w:val="243E1FD3"/>
    <w:rsid w:val="24F001BC"/>
    <w:rsid w:val="25013877"/>
    <w:rsid w:val="254B6B10"/>
    <w:rsid w:val="255B2E93"/>
    <w:rsid w:val="262375E4"/>
    <w:rsid w:val="26936D6D"/>
    <w:rsid w:val="26E97F1F"/>
    <w:rsid w:val="27207FB4"/>
    <w:rsid w:val="283B7B77"/>
    <w:rsid w:val="28A36CB5"/>
    <w:rsid w:val="28CF2AD0"/>
    <w:rsid w:val="290C64DE"/>
    <w:rsid w:val="299332EA"/>
    <w:rsid w:val="29D46730"/>
    <w:rsid w:val="2A0477FE"/>
    <w:rsid w:val="2A1E2604"/>
    <w:rsid w:val="2A885F66"/>
    <w:rsid w:val="2A953DEB"/>
    <w:rsid w:val="2B32503B"/>
    <w:rsid w:val="2B471190"/>
    <w:rsid w:val="2B882F50"/>
    <w:rsid w:val="2C0E6222"/>
    <w:rsid w:val="2C245F13"/>
    <w:rsid w:val="2C402F46"/>
    <w:rsid w:val="2C4F20BE"/>
    <w:rsid w:val="2C9C2A25"/>
    <w:rsid w:val="2CAB28EB"/>
    <w:rsid w:val="2D156330"/>
    <w:rsid w:val="2D3E7BDA"/>
    <w:rsid w:val="2DC72D74"/>
    <w:rsid w:val="2E104BF8"/>
    <w:rsid w:val="2E3F4397"/>
    <w:rsid w:val="2EFE2A09"/>
    <w:rsid w:val="2FC83BC5"/>
    <w:rsid w:val="30205EC5"/>
    <w:rsid w:val="306F36A0"/>
    <w:rsid w:val="30CC3B25"/>
    <w:rsid w:val="30E56DCF"/>
    <w:rsid w:val="31A01FCD"/>
    <w:rsid w:val="32122DCC"/>
    <w:rsid w:val="3267178A"/>
    <w:rsid w:val="3273346D"/>
    <w:rsid w:val="32C239D6"/>
    <w:rsid w:val="32FB47A2"/>
    <w:rsid w:val="32FF13C6"/>
    <w:rsid w:val="333E1607"/>
    <w:rsid w:val="34A77B35"/>
    <w:rsid w:val="36063F0C"/>
    <w:rsid w:val="364E2E75"/>
    <w:rsid w:val="3657287F"/>
    <w:rsid w:val="36986B81"/>
    <w:rsid w:val="372514F8"/>
    <w:rsid w:val="372D2573"/>
    <w:rsid w:val="385B4BC7"/>
    <w:rsid w:val="388A6476"/>
    <w:rsid w:val="3902581C"/>
    <w:rsid w:val="39411416"/>
    <w:rsid w:val="39861EF9"/>
    <w:rsid w:val="39B16DC4"/>
    <w:rsid w:val="3AD34C33"/>
    <w:rsid w:val="3B101D8E"/>
    <w:rsid w:val="3B3B3C44"/>
    <w:rsid w:val="3B8DA73F"/>
    <w:rsid w:val="3C355093"/>
    <w:rsid w:val="3CBB45AF"/>
    <w:rsid w:val="3CE467FA"/>
    <w:rsid w:val="3D370DD9"/>
    <w:rsid w:val="3D4B50F5"/>
    <w:rsid w:val="3D757FFD"/>
    <w:rsid w:val="3D8533EF"/>
    <w:rsid w:val="3D966E56"/>
    <w:rsid w:val="3E014AD8"/>
    <w:rsid w:val="3E4D1CA0"/>
    <w:rsid w:val="3E88285A"/>
    <w:rsid w:val="3E962A64"/>
    <w:rsid w:val="3EE0049B"/>
    <w:rsid w:val="3EFB17B0"/>
    <w:rsid w:val="3F2F3033"/>
    <w:rsid w:val="40121D43"/>
    <w:rsid w:val="409043DB"/>
    <w:rsid w:val="40B953A4"/>
    <w:rsid w:val="40EF5E84"/>
    <w:rsid w:val="42297D41"/>
    <w:rsid w:val="424576B0"/>
    <w:rsid w:val="445E7908"/>
    <w:rsid w:val="44773770"/>
    <w:rsid w:val="44BA39B3"/>
    <w:rsid w:val="44DF0AF4"/>
    <w:rsid w:val="460C05EA"/>
    <w:rsid w:val="46404B8B"/>
    <w:rsid w:val="46701E6D"/>
    <w:rsid w:val="469F0959"/>
    <w:rsid w:val="47416AED"/>
    <w:rsid w:val="476E06B1"/>
    <w:rsid w:val="47912F7F"/>
    <w:rsid w:val="479B1832"/>
    <w:rsid w:val="47A91FA2"/>
    <w:rsid w:val="47AB08BF"/>
    <w:rsid w:val="480661D1"/>
    <w:rsid w:val="48666BF4"/>
    <w:rsid w:val="48E03287"/>
    <w:rsid w:val="48ED38AE"/>
    <w:rsid w:val="4939489D"/>
    <w:rsid w:val="4A3A669D"/>
    <w:rsid w:val="4AA27E1D"/>
    <w:rsid w:val="4AAB7984"/>
    <w:rsid w:val="4B5E2203"/>
    <w:rsid w:val="4B897B81"/>
    <w:rsid w:val="4C15710C"/>
    <w:rsid w:val="4D8A63D6"/>
    <w:rsid w:val="4E247347"/>
    <w:rsid w:val="4EA07739"/>
    <w:rsid w:val="4F120C43"/>
    <w:rsid w:val="50C75888"/>
    <w:rsid w:val="511479F5"/>
    <w:rsid w:val="52713C27"/>
    <w:rsid w:val="531E23C4"/>
    <w:rsid w:val="53221836"/>
    <w:rsid w:val="53F73D50"/>
    <w:rsid w:val="54F2143B"/>
    <w:rsid w:val="5512731F"/>
    <w:rsid w:val="55E24DBD"/>
    <w:rsid w:val="568062FA"/>
    <w:rsid w:val="56C8275D"/>
    <w:rsid w:val="57A26C2A"/>
    <w:rsid w:val="57FF54D9"/>
    <w:rsid w:val="58090C4A"/>
    <w:rsid w:val="580F023D"/>
    <w:rsid w:val="583623B8"/>
    <w:rsid w:val="589F2320"/>
    <w:rsid w:val="59D15036"/>
    <w:rsid w:val="5B8C683A"/>
    <w:rsid w:val="5C721D8A"/>
    <w:rsid w:val="5D6F153B"/>
    <w:rsid w:val="5D952654"/>
    <w:rsid w:val="5DEE63C3"/>
    <w:rsid w:val="5EB966C4"/>
    <w:rsid w:val="5F0D2907"/>
    <w:rsid w:val="5FD22462"/>
    <w:rsid w:val="606002B3"/>
    <w:rsid w:val="60885A45"/>
    <w:rsid w:val="60C80675"/>
    <w:rsid w:val="61157549"/>
    <w:rsid w:val="61BD6746"/>
    <w:rsid w:val="61BF199F"/>
    <w:rsid w:val="61C63E16"/>
    <w:rsid w:val="61D5310B"/>
    <w:rsid w:val="631873C2"/>
    <w:rsid w:val="6380785D"/>
    <w:rsid w:val="642B70E3"/>
    <w:rsid w:val="64997862"/>
    <w:rsid w:val="65083047"/>
    <w:rsid w:val="65E93C06"/>
    <w:rsid w:val="66185BED"/>
    <w:rsid w:val="67C473C5"/>
    <w:rsid w:val="67E7468B"/>
    <w:rsid w:val="6838688B"/>
    <w:rsid w:val="683F57F8"/>
    <w:rsid w:val="68C23A79"/>
    <w:rsid w:val="691960C4"/>
    <w:rsid w:val="6A283D01"/>
    <w:rsid w:val="6AE657EB"/>
    <w:rsid w:val="6BE756B7"/>
    <w:rsid w:val="6C802F03"/>
    <w:rsid w:val="6C86641A"/>
    <w:rsid w:val="6D131DC5"/>
    <w:rsid w:val="6E037C97"/>
    <w:rsid w:val="6EE42833"/>
    <w:rsid w:val="6F13352F"/>
    <w:rsid w:val="6F1B486C"/>
    <w:rsid w:val="6F3E6364"/>
    <w:rsid w:val="6F991AF5"/>
    <w:rsid w:val="6FBC1D57"/>
    <w:rsid w:val="6FF62C3A"/>
    <w:rsid w:val="7042373A"/>
    <w:rsid w:val="705065EF"/>
    <w:rsid w:val="70996483"/>
    <w:rsid w:val="7100549D"/>
    <w:rsid w:val="714D3198"/>
    <w:rsid w:val="71677A10"/>
    <w:rsid w:val="724C24F7"/>
    <w:rsid w:val="72877EBA"/>
    <w:rsid w:val="72EB447D"/>
    <w:rsid w:val="74683BAE"/>
    <w:rsid w:val="74987909"/>
    <w:rsid w:val="74F64FB8"/>
    <w:rsid w:val="75271E66"/>
    <w:rsid w:val="753C02EF"/>
    <w:rsid w:val="75C947F2"/>
    <w:rsid w:val="766858C0"/>
    <w:rsid w:val="766E7EE8"/>
    <w:rsid w:val="76946B42"/>
    <w:rsid w:val="76BF21F6"/>
    <w:rsid w:val="76FF09A7"/>
    <w:rsid w:val="77194596"/>
    <w:rsid w:val="77842E2E"/>
    <w:rsid w:val="77AC1651"/>
    <w:rsid w:val="77BB3AFD"/>
    <w:rsid w:val="78034139"/>
    <w:rsid w:val="78055D13"/>
    <w:rsid w:val="780F66AC"/>
    <w:rsid w:val="78BA1A41"/>
    <w:rsid w:val="78CA386B"/>
    <w:rsid w:val="79103E5D"/>
    <w:rsid w:val="792D4039"/>
    <w:rsid w:val="7A136632"/>
    <w:rsid w:val="7A526E34"/>
    <w:rsid w:val="7A743D43"/>
    <w:rsid w:val="7B9B28DB"/>
    <w:rsid w:val="7BC562DE"/>
    <w:rsid w:val="7BC7750E"/>
    <w:rsid w:val="7D081BB2"/>
    <w:rsid w:val="7D802571"/>
    <w:rsid w:val="7EEE5C23"/>
    <w:rsid w:val="7F5E2999"/>
    <w:rsid w:val="7F722BC6"/>
    <w:rsid w:val="7F7E631B"/>
    <w:rsid w:val="BD3DA94A"/>
    <w:rsid w:val="BDBF0516"/>
    <w:rsid w:val="BED54737"/>
    <w:rsid w:val="DDDFE4E3"/>
    <w:rsid w:val="FB7EB64F"/>
    <w:rsid w:val="FFEE5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sz w:val="22"/>
      <w:szCs w:val="22"/>
      <w:lang w:val="en-US" w:eastAsia="en-US" w:bidi="ar-SA"/>
    </w:rPr>
  </w:style>
  <w:style w:type="paragraph" w:styleId="2">
    <w:name w:val="heading 1"/>
    <w:basedOn w:val="1"/>
    <w:next w:val="1"/>
    <w:link w:val="14"/>
    <w:qFormat/>
    <w:uiPriority w:val="0"/>
    <w:pPr>
      <w:outlineLvl w:val="0"/>
    </w:pPr>
    <w:rPr>
      <w:rFonts w:ascii="宋体" w:hAnsi="宋体"/>
      <w:sz w:val="42"/>
      <w:szCs w:val="42"/>
    </w:rPr>
  </w:style>
  <w:style w:type="paragraph" w:styleId="3">
    <w:name w:val="heading 2"/>
    <w:basedOn w:val="1"/>
    <w:next w:val="1"/>
    <w:link w:val="15"/>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7"/>
    <w:unhideWhenUsed/>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qFormat/>
    <w:uiPriority w:val="0"/>
    <w:pPr>
      <w:ind w:left="220"/>
    </w:pPr>
    <w:rPr>
      <w:rFonts w:ascii="宋体" w:hAnsi="宋体"/>
      <w:sz w:val="32"/>
      <w:szCs w:val="32"/>
    </w:rPr>
  </w:style>
  <w:style w:type="paragraph" w:styleId="6">
    <w:name w:val="Plain Text"/>
    <w:basedOn w:val="1"/>
    <w:unhideWhenUsed/>
    <w:qFormat/>
    <w:uiPriority w:val="99"/>
    <w:rPr>
      <w:rFonts w:ascii="宋体" w:hAnsi="Courier New" w:cs="Courier New"/>
      <w:sz w:val="21"/>
      <w:szCs w:val="21"/>
    </w:rPr>
  </w:style>
  <w:style w:type="paragraph" w:styleId="7">
    <w:name w:val="Balloon Text"/>
    <w:basedOn w:val="1"/>
    <w:link w:val="20"/>
    <w:unhideWhenUsed/>
    <w:qFormat/>
    <w:uiPriority w:val="0"/>
    <w:rPr>
      <w:sz w:val="18"/>
      <w:szCs w:val="18"/>
    </w:rPr>
  </w:style>
  <w:style w:type="paragraph" w:styleId="8">
    <w:name w:val="footer"/>
    <w:basedOn w:val="1"/>
    <w:link w:val="19"/>
    <w:qFormat/>
    <w:uiPriority w:val="99"/>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pPr>
    <w:rPr>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字符"/>
    <w:link w:val="2"/>
    <w:qFormat/>
    <w:uiPriority w:val="0"/>
    <w:rPr>
      <w:rFonts w:ascii="宋体" w:hAnsi="宋体"/>
      <w:sz w:val="42"/>
      <w:szCs w:val="42"/>
    </w:rPr>
  </w:style>
  <w:style w:type="character" w:customStyle="1" w:styleId="15">
    <w:name w:val="标题 2 字符"/>
    <w:link w:val="3"/>
    <w:qFormat/>
    <w:uiPriority w:val="0"/>
    <w:rPr>
      <w:rFonts w:ascii="Arial" w:hAnsi="Arial" w:eastAsia="黑体"/>
      <w:b/>
      <w:sz w:val="32"/>
    </w:rPr>
  </w:style>
  <w:style w:type="character" w:customStyle="1" w:styleId="16">
    <w:name w:val="正文文本 字符"/>
    <w:link w:val="5"/>
    <w:qFormat/>
    <w:uiPriority w:val="0"/>
    <w:rPr>
      <w:rFonts w:ascii="宋体" w:hAnsi="宋体"/>
      <w:sz w:val="32"/>
      <w:szCs w:val="32"/>
    </w:rPr>
  </w:style>
  <w:style w:type="character" w:customStyle="1" w:styleId="17">
    <w:name w:val="标题 3 字符"/>
    <w:link w:val="4"/>
    <w:qFormat/>
    <w:uiPriority w:val="0"/>
    <w:rPr>
      <w:b/>
      <w:sz w:val="32"/>
    </w:rPr>
  </w:style>
  <w:style w:type="character" w:customStyle="1" w:styleId="18">
    <w:name w:val="页眉 字符"/>
    <w:basedOn w:val="13"/>
    <w:link w:val="9"/>
    <w:qFormat/>
    <w:uiPriority w:val="0"/>
    <w:rPr>
      <w:rFonts w:ascii="Calibri" w:hAnsi="Calibri"/>
      <w:sz w:val="18"/>
      <w:szCs w:val="18"/>
      <w:lang w:eastAsia="en-US"/>
    </w:rPr>
  </w:style>
  <w:style w:type="character" w:customStyle="1" w:styleId="19">
    <w:name w:val="页脚 字符"/>
    <w:basedOn w:val="13"/>
    <w:link w:val="8"/>
    <w:qFormat/>
    <w:uiPriority w:val="99"/>
    <w:rPr>
      <w:rFonts w:ascii="Calibri" w:hAnsi="Calibri"/>
      <w:sz w:val="18"/>
      <w:szCs w:val="18"/>
      <w:lang w:eastAsia="en-US"/>
    </w:rPr>
  </w:style>
  <w:style w:type="character" w:customStyle="1" w:styleId="20">
    <w:name w:val="批注框文本 字符"/>
    <w:basedOn w:val="13"/>
    <w:link w:val="7"/>
    <w:semiHidden/>
    <w:qFormat/>
    <w:uiPriority w:val="0"/>
    <w:rPr>
      <w:rFonts w:ascii="Calibri" w:hAnsi="Calibri"/>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3517</Words>
  <Characters>3847</Characters>
  <Lines>22</Lines>
  <Paragraphs>6</Paragraphs>
  <TotalTime>2</TotalTime>
  <ScaleCrop>false</ScaleCrop>
  <LinksUpToDate>false</LinksUpToDate>
  <CharactersWithSpaces>3889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2019-08-21T08:25:00Z</dcterms:created>
  <dc:creator>林振顺</dc:creator>
  <cp:lastModifiedBy>admin123</cp:lastModifiedBy>
  <cp:lastPrinted>2023-03-08T02:14:00Z</cp:lastPrinted>
  <dcterms:modified xsi:type="dcterms:W3CDTF">2024-10-08T16:24:29Z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94B45C2F6DAB166F25D4EB6609A3FFF6_43</vt:lpwstr>
  </property>
</Properties>
</file>