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福建省药品监督管理局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行政处罚决定书</w:t>
      </w:r>
    </w:p>
    <w:p>
      <w:pPr>
        <w:wordWrap w:val="0"/>
        <w:snapToGrid w:val="0"/>
        <w:spacing w:before="312" w:beforeLines="100" w:after="312" w:afterLines="100" w:line="520" w:lineRule="exact"/>
        <w:jc w:val="center"/>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sz w:val="32"/>
          <w:szCs w:val="32"/>
          <w:u w:val="none"/>
        </w:rPr>
        <w:t>闽药监榕稽行罚</w:t>
      </w:r>
      <w:r>
        <w:rPr>
          <w:rFonts w:hint="eastAsia" w:ascii="仿宋_GB2312" w:hAnsi="仿宋_GB2312" w:eastAsia="仿宋_GB2312" w:cs="仿宋_GB2312"/>
          <w:color w:val="000000"/>
          <w:sz w:val="32"/>
          <w:szCs w:val="32"/>
          <w:u w:val="none"/>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20802600</wp:posOffset>
                </wp:positionV>
                <wp:extent cx="5761990" cy="1270"/>
                <wp:effectExtent l="0" t="0" r="0" b="0"/>
                <wp:wrapNone/>
                <wp:docPr id="10" name="直接箭头连接符 10"/>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60288;mso-width-relative:page;mso-height-relative:page;" filled="f" stroked="t" coordsize="21600,21600" o:gfxdata="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i14omtoAAAAL&#10;AQAADwAAAAAAAAABACAAAAA4AAAAZHJzL2Rvd25yZXYueG1sUEsBAhQAFAAAAAgAh07iQObEE/YE&#10;AgAA/gMAAA4AAAAAAAAAAQAgAAAAPwEAAGRycy9lMm9Eb2MueG1sUEsFBgAAAAAGAAYAWQEAALUF&#10;AAAAAA==&#10;">
                <v:fill on="f" focussize="0,0"/>
                <v:stroke weight="1.5pt" color="#000000" joinstyle="round" endcap="square"/>
                <v:imagedata o:title=""/>
                <o:lock v:ext="edit" aspectratio="f"/>
              </v:shape>
            </w:pict>
          </mc:Fallback>
        </mc:AlternateContent>
      </w:r>
      <w:r>
        <w:rPr>
          <w:rFonts w:hint="eastAsia" w:ascii="仿宋_GB2312" w:hAnsi="仿宋_GB2312" w:eastAsia="仿宋_GB2312" w:cs="仿宋_GB2312"/>
          <w:color w:val="000000"/>
          <w:sz w:val="32"/>
          <w:szCs w:val="32"/>
          <w:u w:val="none"/>
        </w:rPr>
        <w:t>〔202</w:t>
      </w:r>
      <w:r>
        <w:rPr>
          <w:rFonts w:hint="eastAsia" w:ascii="仿宋_GB2312" w:hAnsi="仿宋_GB2312" w:eastAsia="仿宋_GB2312" w:cs="仿宋_GB2312"/>
          <w:color w:val="000000"/>
          <w:sz w:val="32"/>
          <w:szCs w:val="32"/>
          <w:u w:val="none"/>
          <w:lang w:val="en-US" w:eastAsia="zh-CN"/>
        </w:rPr>
        <w:t>3</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val="en-US" w:eastAsia="zh-CN"/>
        </w:rPr>
        <w:t>07</w:t>
      </w:r>
      <w:r>
        <w:rPr>
          <w:rFonts w:hint="eastAsia" w:ascii="仿宋_GB2312" w:hAnsi="仿宋_GB2312" w:eastAsia="仿宋_GB2312" w:cs="仿宋_GB2312"/>
          <w:color w:val="000000"/>
          <w:sz w:val="32"/>
          <w:szCs w:val="32"/>
          <w:u w:val="none"/>
        </w:rPr>
        <w:t>号</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1"/>
          <w:sz w:val="32"/>
          <w:szCs w:val="32"/>
        </w:rPr>
        <w:t>当事人：</w:t>
      </w:r>
      <w:r>
        <w:rPr>
          <w:rFonts w:hint="eastAsia" w:ascii="仿宋_GB2312" w:hAnsi="仿宋_GB2312" w:eastAsia="仿宋_GB2312" w:cs="仿宋_GB2312"/>
          <w:b w:val="0"/>
          <w:bCs/>
          <w:sz w:val="32"/>
          <w:szCs w:val="32"/>
          <w:u w:val="none"/>
        </w:rPr>
        <w:t>福建省美德医械制造有限公司</w:t>
      </w:r>
      <w:r>
        <w:rPr>
          <w:rFonts w:hint="eastAsia" w:ascii="仿宋_GB2312" w:hAnsi="仿宋_GB2312" w:eastAsia="仿宋_GB2312" w:cs="仿宋_GB2312"/>
          <w:kern w:val="1"/>
          <w:sz w:val="32"/>
          <w:szCs w:val="32"/>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140" w:hanging="140"/>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主体资格证照名称：《营业执照》                       </w:t>
      </w:r>
    </w:p>
    <w:p>
      <w:pPr>
        <w:keepNext w:val="0"/>
        <w:keepLines w:val="0"/>
        <w:pageBreakBefore w:val="0"/>
        <w:widowControl w:val="0"/>
        <w:kinsoku/>
        <w:wordWrap/>
        <w:overflowPunct/>
        <w:topLinePunct w:val="0"/>
        <w:autoSpaceDE/>
        <w:autoSpaceDN/>
        <w:bidi w:val="0"/>
        <w:adjustRightInd/>
        <w:snapToGrid/>
        <w:spacing w:line="420" w:lineRule="exact"/>
        <w:ind w:left="140" w:hanging="140"/>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统一社会信用代码（注册号）：</w:t>
      </w:r>
      <w:r>
        <w:rPr>
          <w:rFonts w:hint="eastAsia" w:ascii="仿宋_GB2312" w:hAnsi="仿宋_GB2312" w:eastAsia="仿宋_GB2312" w:cs="仿宋_GB2312"/>
          <w:sz w:val="32"/>
          <w:szCs w:val="32"/>
          <w:u w:val="none"/>
        </w:rPr>
        <w:t>913503033153086402</w:t>
      </w:r>
      <w:r>
        <w:rPr>
          <w:rFonts w:hint="eastAsia" w:ascii="仿宋_GB2312" w:hAnsi="仿宋_GB2312" w:eastAsia="仿宋_GB2312" w:cs="仿宋_GB2312"/>
          <w:kern w:val="1"/>
          <w:sz w:val="32"/>
          <w:szCs w:val="32"/>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住所（住址）：</w:t>
      </w:r>
      <w:r>
        <w:rPr>
          <w:rFonts w:hint="eastAsia" w:ascii="仿宋_GB2312" w:hAnsi="仿宋_GB2312" w:eastAsia="仿宋_GB2312" w:cs="仿宋_GB2312"/>
          <w:sz w:val="32"/>
          <w:szCs w:val="32"/>
          <w:u w:val="none"/>
        </w:rPr>
        <w:t>福建省莆田市涵江区江口镇石庭和平路1号</w:t>
      </w:r>
    </w:p>
    <w:p>
      <w:pPr>
        <w:keepNext w:val="0"/>
        <w:keepLines w:val="0"/>
        <w:pageBreakBefore w:val="0"/>
        <w:widowControl w:val="0"/>
        <w:kinsoku/>
        <w:wordWrap/>
        <w:overflowPunct/>
        <w:topLinePunct w:val="0"/>
        <w:autoSpaceDE/>
        <w:autoSpaceDN/>
        <w:bidi w:val="0"/>
        <w:adjustRightInd/>
        <w:snapToGrid/>
        <w:spacing w:line="420" w:lineRule="exact"/>
        <w:ind w:left="140" w:hanging="140"/>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法定代表人（负责人、经营者）：</w:t>
      </w:r>
      <w:r>
        <w:rPr>
          <w:rFonts w:hint="eastAsia" w:ascii="仿宋_GB2312" w:hAnsi="仿宋_GB2312" w:eastAsia="仿宋_GB2312" w:cs="仿宋_GB2312"/>
          <w:sz w:val="32"/>
          <w:szCs w:val="32"/>
          <w:u w:val="none"/>
        </w:rPr>
        <w:t>黄玉富</w:t>
      </w:r>
      <w:r>
        <w:rPr>
          <w:rFonts w:hint="eastAsia" w:ascii="仿宋_GB2312" w:hAnsi="仿宋_GB2312" w:eastAsia="仿宋_GB2312" w:cs="仿宋_GB2312"/>
          <w:kern w:val="1"/>
          <w:sz w:val="32"/>
          <w:szCs w:val="32"/>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                          </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经查，当事人生产的规格型号为“无菌型连身式（带鞋套）180”，批号为“20221119”的医用一次性防护服，经江西省医疗器械检测中心检验，结论为“不符合GB19082-2009《医用一次性防护服技术要求》标准的要求”。当事人共生产该批产品</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00套，已全部售出，销售价格为</w:t>
      </w:r>
      <w:r>
        <w:rPr>
          <w:rFonts w:hint="eastAsia" w:ascii="仿宋_GB2312" w:hAnsi="仿宋_GB2312" w:eastAsia="仿宋_GB2312" w:cs="仿宋_GB2312"/>
          <w:sz w:val="32"/>
          <w:szCs w:val="32"/>
          <w:lang w:val="en-US" w:eastAsia="zh-CN"/>
        </w:rPr>
        <w:t>每件9元</w:t>
      </w:r>
      <w:r>
        <w:rPr>
          <w:rFonts w:hint="eastAsia" w:ascii="仿宋_GB2312" w:hAnsi="仿宋_GB2312" w:eastAsia="仿宋_GB2312" w:cs="仿宋_GB2312"/>
          <w:sz w:val="32"/>
          <w:szCs w:val="32"/>
          <w:lang w:eastAsia="zh-CN"/>
        </w:rPr>
        <w:t>，货值及销售金额均为</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eastAsia="zh-CN"/>
        </w:rPr>
        <w:t>00元。</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上述事实，主要有以下证据证明：当事人持有的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营业执照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医疗器械生产许可证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医疗器械产品注册证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《产品技术要求》（</w:t>
      </w:r>
      <w:r>
        <w:rPr>
          <w:rFonts w:hint="eastAsia" w:ascii="仿宋_GB2312" w:hAnsi="仿宋_GB2312" w:eastAsia="仿宋_GB2312" w:cs="仿宋_GB2312"/>
          <w:color w:val="000000"/>
          <w:sz w:val="32"/>
          <w:szCs w:val="32"/>
          <w:lang w:val="en-US" w:eastAsia="zh-CN"/>
        </w:rPr>
        <w:t>闽械注准20202140415</w:t>
      </w:r>
      <w:r>
        <w:rPr>
          <w:rFonts w:hint="eastAsia" w:ascii="仿宋_GB2312" w:hAnsi="仿宋_GB2312" w:eastAsia="仿宋_GB2312" w:cs="仿宋_GB2312"/>
          <w:color w:val="000000"/>
          <w:sz w:val="32"/>
          <w:szCs w:val="32"/>
        </w:rPr>
        <w:t>）复印件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江西省药品监督管理局《医疗器械监督抽检核查函</w:t>
      </w:r>
      <w:r>
        <w:rPr>
          <w:rFonts w:hint="eastAsia" w:ascii="仿宋_GB2312" w:hAnsi="仿宋_GB2312" w:eastAsia="仿宋_GB2312" w:cs="仿宋_GB2312"/>
          <w:color w:val="000000"/>
          <w:sz w:val="32"/>
          <w:szCs w:val="32"/>
          <w:lang w:eastAsia="zh-CN"/>
        </w:rPr>
        <w:t>》（赣械核〔</w:t>
      </w:r>
      <w:r>
        <w:rPr>
          <w:rFonts w:hint="eastAsia" w:ascii="仿宋_GB2312" w:hAnsi="仿宋_GB2312" w:eastAsia="仿宋_GB2312" w:cs="仿宋_GB2312"/>
          <w:color w:val="000000"/>
          <w:sz w:val="32"/>
          <w:szCs w:val="32"/>
          <w:lang w:val="en-US" w:eastAsia="zh-CN"/>
        </w:rPr>
        <w:t>2023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9号</w:t>
      </w:r>
      <w:r>
        <w:rPr>
          <w:rFonts w:hint="eastAsia" w:ascii="仿宋_GB2312" w:hAnsi="仿宋_GB2312" w:eastAsia="仿宋_GB2312" w:cs="仿宋_GB2312"/>
          <w:color w:val="000000"/>
          <w:sz w:val="32"/>
          <w:szCs w:val="32"/>
          <w:lang w:eastAsia="zh-CN"/>
        </w:rPr>
        <w:t>）、江西省医疗器械检测中心出具的《检验检测报告》（报告编号：YQCY20230044）、</w:t>
      </w:r>
      <w:r>
        <w:rPr>
          <w:rFonts w:hint="eastAsia" w:ascii="仿宋_GB2312" w:hAnsi="仿宋_GB2312" w:eastAsia="仿宋_GB2312" w:cs="仿宋_GB2312"/>
          <w:color w:val="000000"/>
          <w:sz w:val="32"/>
          <w:szCs w:val="32"/>
          <w:lang w:val="en-US" w:eastAsia="zh-CN"/>
        </w:rPr>
        <w:t>规格型号为无菌型连身式（带鞋套）180，批号为20221119的医用一次性防护服的《生产批记录》、《医用一次性防护服检测报告》及检验记录、《销售出库单》、《防护服销售记录》复印件、《手机微信转账截图》、南昌市市场监督管理局进贤医疗器械监督管理分局《关于对福建省药品监督管理局福州药品稽查办公室&lt;协助调查函&gt;的复函》、江西盖本贸易有限公司出具的《法人代表授权书》和《关于医用一次性防护服购销情况说明》、当事人开具给江西盖本贸易有限公司的《出库单》复印件、南昌市市场监督管理局《不予行政处罚决定书》（洪市监械不罚〔2023〕1号）</w:t>
      </w:r>
      <w:r>
        <w:rPr>
          <w:rFonts w:hint="eastAsia" w:ascii="仿宋_GB2312" w:hAnsi="仿宋_GB2312" w:eastAsia="仿宋_GB2312" w:cs="仿宋_GB2312"/>
          <w:color w:val="000000"/>
          <w:sz w:val="32"/>
          <w:szCs w:val="32"/>
          <w:lang w:eastAsia="zh-CN"/>
        </w:rPr>
        <w:t>复印件、</w:t>
      </w:r>
      <w:r>
        <w:rPr>
          <w:rFonts w:hint="eastAsia" w:ascii="仿宋_GB2312" w:hAnsi="仿宋_GB2312" w:eastAsia="仿宋_GB2312" w:cs="仿宋_GB2312"/>
          <w:color w:val="000000"/>
          <w:sz w:val="32"/>
          <w:szCs w:val="32"/>
        </w:rPr>
        <w:t>现场笔录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当事人受委托人</w:t>
      </w:r>
      <w:r>
        <w:rPr>
          <w:rFonts w:hint="eastAsia" w:ascii="仿宋_GB2312" w:hAnsi="仿宋_GB2312" w:eastAsia="仿宋_GB2312" w:cs="仿宋_GB2312"/>
          <w:color w:val="000000"/>
          <w:sz w:val="32"/>
          <w:szCs w:val="32"/>
          <w:lang w:eastAsia="zh-CN"/>
        </w:rPr>
        <w:t>龙江、业务员段跃勇、仓管员蔡明弟</w:t>
      </w:r>
      <w:r>
        <w:rPr>
          <w:rFonts w:hint="eastAsia" w:ascii="仿宋_GB2312" w:hAnsi="仿宋_GB2312" w:eastAsia="仿宋_GB2312" w:cs="仿宋_GB2312"/>
          <w:color w:val="000000"/>
          <w:sz w:val="32"/>
          <w:szCs w:val="32"/>
        </w:rPr>
        <w:t>询问笔录</w:t>
      </w:r>
      <w:r>
        <w:rPr>
          <w:rFonts w:hint="eastAsia" w:ascii="仿宋_GB2312" w:hAnsi="仿宋_GB2312" w:eastAsia="仿宋_GB2312" w:cs="仿宋_GB2312"/>
          <w:bCs/>
          <w:color w:val="000000"/>
          <w:sz w:val="32"/>
          <w:szCs w:val="32"/>
        </w:rPr>
        <w:t xml:space="preserve">等。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本局于202</w:t>
      </w: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rPr>
        <w:t>年</w:t>
      </w:r>
      <w:r>
        <w:rPr>
          <w:rFonts w:hint="eastAsia" w:ascii="仿宋_GB2312" w:hAnsi="仿宋_GB2312" w:eastAsia="仿宋_GB2312" w:cs="仿宋_GB2312"/>
          <w:bCs/>
          <w:color w:val="000000"/>
          <w:sz w:val="32"/>
          <w:szCs w:val="32"/>
          <w:lang w:val="en-US" w:eastAsia="zh-CN"/>
        </w:rPr>
        <w:t>8</w:t>
      </w:r>
      <w:r>
        <w:rPr>
          <w:rFonts w:hint="eastAsia" w:ascii="仿宋_GB2312" w:hAnsi="仿宋_GB2312" w:eastAsia="仿宋_GB2312" w:cs="仿宋_GB2312"/>
          <w:bCs/>
          <w:color w:val="000000"/>
          <w:sz w:val="32"/>
          <w:szCs w:val="32"/>
        </w:rPr>
        <w:t>月</w:t>
      </w:r>
      <w:r>
        <w:rPr>
          <w:rFonts w:hint="eastAsia" w:ascii="仿宋_GB2312" w:hAnsi="仿宋_GB2312" w:eastAsia="仿宋_GB2312" w:cs="仿宋_GB2312"/>
          <w:bCs/>
          <w:color w:val="000000"/>
          <w:sz w:val="32"/>
          <w:szCs w:val="32"/>
          <w:lang w:val="en-US" w:eastAsia="zh-CN"/>
        </w:rPr>
        <w:t>22</w:t>
      </w:r>
      <w:r>
        <w:rPr>
          <w:rFonts w:hint="eastAsia" w:ascii="仿宋_GB2312" w:hAnsi="仿宋_GB2312" w:eastAsia="仿宋_GB2312" w:cs="仿宋_GB2312"/>
          <w:bCs/>
          <w:color w:val="000000"/>
          <w:sz w:val="32"/>
          <w:szCs w:val="32"/>
        </w:rPr>
        <w:t>日将行政处罚告知书</w:t>
      </w:r>
      <w:r>
        <w:rPr>
          <w:rFonts w:hint="eastAsia" w:ascii="仿宋_GB2312" w:hAnsi="仿宋_GB2312" w:eastAsia="仿宋_GB2312" w:cs="仿宋_GB2312"/>
          <w:bCs/>
          <w:color w:val="000000"/>
          <w:sz w:val="32"/>
          <w:szCs w:val="32"/>
          <w:lang w:eastAsia="zh-CN"/>
        </w:rPr>
        <w:t>电子</w:t>
      </w:r>
      <w:r>
        <w:rPr>
          <w:rFonts w:hint="eastAsia" w:ascii="仿宋_GB2312" w:hAnsi="仿宋_GB2312" w:eastAsia="仿宋_GB2312" w:cs="仿宋_GB2312"/>
          <w:bCs/>
          <w:color w:val="000000"/>
          <w:sz w:val="32"/>
          <w:szCs w:val="32"/>
        </w:rPr>
        <w:t>送达当事人，并告知</w:t>
      </w:r>
      <w:r>
        <w:rPr>
          <w:rFonts w:hint="eastAsia" w:ascii="仿宋_GB2312" w:hAnsi="仿宋_GB2312" w:eastAsia="仿宋_GB2312" w:cs="仿宋_GB2312"/>
          <w:bCs/>
          <w:color w:val="000000"/>
          <w:sz w:val="32"/>
          <w:szCs w:val="32"/>
          <w:lang w:eastAsia="zh-CN"/>
        </w:rPr>
        <w:t>当事人</w:t>
      </w:r>
      <w:r>
        <w:rPr>
          <w:rFonts w:hint="eastAsia" w:ascii="仿宋_GB2312" w:hAnsi="仿宋_GB2312" w:eastAsia="仿宋_GB2312" w:cs="仿宋_GB2312"/>
          <w:bCs/>
          <w:color w:val="000000"/>
          <w:sz w:val="32"/>
          <w:szCs w:val="32"/>
        </w:rPr>
        <w:t>有陈述申辩的权利。</w:t>
      </w:r>
      <w:r>
        <w:rPr>
          <w:rFonts w:hint="eastAsia" w:ascii="仿宋_GB2312" w:hAnsi="仿宋_GB2312" w:eastAsia="仿宋_GB2312" w:cs="仿宋_GB2312"/>
          <w:bCs/>
          <w:color w:val="000000"/>
          <w:sz w:val="32"/>
          <w:szCs w:val="32"/>
          <w:lang w:eastAsia="zh-CN"/>
        </w:rPr>
        <w:t>当事人在法定期限内未提出</w:t>
      </w:r>
      <w:r>
        <w:rPr>
          <w:rFonts w:hint="eastAsia" w:ascii="仿宋_GB2312" w:hAnsi="仿宋_GB2312" w:eastAsia="仿宋_GB2312" w:cs="仿宋_GB2312"/>
          <w:bCs/>
          <w:color w:val="000000"/>
          <w:sz w:val="32"/>
          <w:szCs w:val="32"/>
        </w:rPr>
        <w:t>陈述申辩</w:t>
      </w:r>
      <w:r>
        <w:rPr>
          <w:rFonts w:hint="eastAsia" w:ascii="仿宋_GB2312" w:hAnsi="仿宋_GB2312" w:eastAsia="仿宋_GB2312" w:cs="仿宋_GB2312"/>
          <w:bCs/>
          <w:color w:val="000000"/>
          <w:sz w:val="32"/>
          <w:szCs w:val="32"/>
          <w:lang w:eastAsia="zh-CN"/>
        </w:rPr>
        <w:t>意见。</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color w:val="000000"/>
          <w:sz w:val="32"/>
          <w:szCs w:val="32"/>
          <w:lang w:eastAsia="zh-CN"/>
        </w:rPr>
        <w:t>本局认为，</w:t>
      </w:r>
      <w:r>
        <w:rPr>
          <w:rFonts w:hint="eastAsia" w:ascii="仿宋_GB2312" w:hAnsi="仿宋_GB2312" w:eastAsia="仿宋_GB2312" w:cs="仿宋_GB2312"/>
          <w:bCs/>
          <w:sz w:val="32"/>
          <w:szCs w:val="32"/>
          <w:u w:val="none"/>
        </w:rPr>
        <w:t>当事人</w:t>
      </w:r>
      <w:r>
        <w:rPr>
          <w:rFonts w:hint="eastAsia" w:ascii="仿宋_GB2312" w:hAnsi="仿宋_GB2312" w:eastAsia="仿宋_GB2312" w:cs="仿宋_GB2312"/>
          <w:bCs/>
          <w:sz w:val="32"/>
          <w:szCs w:val="32"/>
          <w:u w:val="none"/>
          <w:lang w:eastAsia="zh-CN"/>
        </w:rPr>
        <w:t>作为医疗器械注册人，其生产的</w:t>
      </w:r>
      <w:r>
        <w:rPr>
          <w:rFonts w:hint="eastAsia" w:ascii="仿宋_GB2312" w:hAnsi="仿宋_GB2312" w:eastAsia="仿宋_GB2312" w:cs="仿宋_GB2312"/>
          <w:sz w:val="32"/>
          <w:szCs w:val="32"/>
          <w:lang w:eastAsia="zh-CN"/>
        </w:rPr>
        <w:t>规格型号为“无菌型连身式（带鞋套）180”，批号为“20221119”的医用一次性防护服</w:t>
      </w:r>
      <w:r>
        <w:rPr>
          <w:rFonts w:hint="eastAsia" w:ascii="仿宋_GB2312" w:hAnsi="仿宋_GB2312" w:eastAsia="仿宋_GB2312" w:cs="仿宋_GB2312"/>
          <w:sz w:val="32"/>
          <w:szCs w:val="32"/>
          <w:u w:val="none"/>
          <w:lang w:val="en-US" w:eastAsia="zh-CN"/>
        </w:rPr>
        <w:t>属于第二类医疗器械，</w:t>
      </w:r>
      <w:r>
        <w:rPr>
          <w:rFonts w:hint="eastAsia" w:ascii="仿宋_GB2312" w:hAnsi="仿宋_GB2312" w:eastAsia="仿宋_GB2312" w:cs="仿宋_GB2312"/>
          <w:sz w:val="32"/>
          <w:szCs w:val="32"/>
          <w:lang w:eastAsia="zh-CN"/>
        </w:rPr>
        <w:t>经江西省医疗器械检测中心检验，结论为“不符合GB19082-2009《医用一次性防护服技术要求》标准的要求”</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该行为</w:t>
      </w:r>
      <w:r>
        <w:rPr>
          <w:rFonts w:hint="eastAsia" w:ascii="仿宋_GB2312" w:hAnsi="仿宋_GB2312" w:eastAsia="仿宋_GB2312" w:cs="仿宋_GB2312"/>
          <w:sz w:val="32"/>
          <w:szCs w:val="32"/>
          <w:u w:val="none"/>
          <w:lang w:val="en-US" w:eastAsia="zh-CN"/>
        </w:rPr>
        <w:t>违反了《医疗器械监督管理条例》（国务院令第739号）第七条、第三十五条第一款规定，属于《医疗器械监督管理条例》第八十六条第一款第一项的情形。</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sz w:val="32"/>
          <w:lang w:eastAsia="zh-CN"/>
        </w:rPr>
        <w:t>本案办理过程中，</w:t>
      </w:r>
      <w:r>
        <w:rPr>
          <w:rFonts w:hint="eastAsia" w:ascii="仿宋_GB2312" w:hAnsi="仿宋_GB2312" w:eastAsia="仿宋_GB2312" w:cs="仿宋_GB2312"/>
          <w:sz w:val="32"/>
          <w:szCs w:val="32"/>
          <w:lang w:eastAsia="zh-CN"/>
        </w:rPr>
        <w:t>当事人提供的《销售记录》及《出库单》与实际销售对象不符，妨碍了案件的调查，符合</w:t>
      </w: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spacing w:val="0"/>
          <w:sz w:val="32"/>
          <w:szCs w:val="32"/>
          <w:lang w:val="en-US" w:eastAsia="zh-CN"/>
        </w:rPr>
        <w:t>福建省药品监管行政处罚裁量权适用实施细则（试行）</w:t>
      </w:r>
      <w:r>
        <w:rPr>
          <w:rFonts w:hint="default" w:ascii="Times New Roman" w:hAnsi="Times New Roman" w:eastAsia="仿宋_GB2312" w:cs="Times New Roman"/>
          <w:color w:val="auto"/>
          <w:spacing w:val="0"/>
          <w:sz w:val="32"/>
          <w:szCs w:val="32"/>
          <w:lang w:val="en-US" w:eastAsia="zh-CN"/>
        </w:rPr>
        <w:t>》</w:t>
      </w:r>
      <w:r>
        <w:rPr>
          <w:rFonts w:hint="eastAsia" w:ascii="Times New Roman" w:hAnsi="Times New Roman" w:eastAsia="仿宋_GB2312" w:cs="Times New Roman"/>
          <w:color w:val="auto"/>
          <w:spacing w:val="0"/>
          <w:sz w:val="32"/>
          <w:szCs w:val="32"/>
          <w:lang w:val="en-US" w:eastAsia="zh-CN"/>
        </w:rPr>
        <w:t>第十五条第一款第七项的情形</w:t>
      </w:r>
      <w:r>
        <w:rPr>
          <w:rFonts w:hint="eastAsia" w:ascii="仿宋_GB2312" w:hAnsi="仿宋_GB2312" w:eastAsia="仿宋_GB2312" w:cs="仿宋_GB2312"/>
          <w:sz w:val="32"/>
          <w:szCs w:val="32"/>
          <w:lang w:eastAsia="zh-CN"/>
        </w:rPr>
        <w:t>；</w:t>
      </w:r>
      <w:r>
        <w:rPr>
          <w:rFonts w:hint="eastAsia" w:ascii="仿宋_GB2312" w:hAnsi="仿宋_GB2312" w:eastAsia="仿宋_GB2312"/>
          <w:sz w:val="32"/>
          <w:lang w:eastAsia="zh-CN"/>
        </w:rPr>
        <w:t>同时在本案调查期间，发现当事人生产的其他批次医疗器械产品也存在不</w:t>
      </w:r>
      <w:r>
        <w:rPr>
          <w:rFonts w:hint="eastAsia" w:ascii="仿宋_GB2312" w:hAnsi="仿宋_GB2312" w:eastAsia="仿宋_GB2312" w:cs="仿宋_GB2312"/>
          <w:bCs/>
          <w:sz w:val="32"/>
          <w:szCs w:val="32"/>
          <w:u w:val="none"/>
        </w:rPr>
        <w:t>符合强制性标准</w:t>
      </w:r>
      <w:r>
        <w:rPr>
          <w:rFonts w:hint="eastAsia" w:ascii="仿宋_GB2312" w:hAnsi="仿宋_GB2312" w:eastAsia="仿宋_GB2312" w:cs="仿宋_GB2312"/>
          <w:bCs/>
          <w:sz w:val="32"/>
          <w:szCs w:val="32"/>
          <w:u w:val="none"/>
          <w:lang w:eastAsia="zh-CN"/>
        </w:rPr>
        <w:t>或</w:t>
      </w:r>
      <w:r>
        <w:rPr>
          <w:rFonts w:hint="eastAsia" w:ascii="仿宋_GB2312" w:hAnsi="仿宋_GB2312" w:eastAsia="仿宋_GB2312" w:cs="仿宋_GB2312"/>
          <w:bCs/>
          <w:sz w:val="32"/>
          <w:szCs w:val="32"/>
          <w:u w:val="none"/>
        </w:rPr>
        <w:t>经注册</w:t>
      </w:r>
      <w:r>
        <w:rPr>
          <w:rFonts w:hint="eastAsia" w:ascii="仿宋_GB2312" w:hAnsi="仿宋_GB2312" w:eastAsia="仿宋_GB2312" w:cs="仿宋_GB2312"/>
          <w:bCs/>
          <w:sz w:val="32"/>
          <w:szCs w:val="32"/>
          <w:u w:val="none"/>
          <w:lang w:eastAsia="zh-CN"/>
        </w:rPr>
        <w:t>的</w:t>
      </w:r>
      <w:r>
        <w:rPr>
          <w:rFonts w:hint="eastAsia" w:ascii="仿宋_GB2312" w:hAnsi="仿宋_GB2312" w:eastAsia="仿宋_GB2312" w:cs="仿宋_GB2312"/>
          <w:bCs/>
          <w:sz w:val="32"/>
          <w:szCs w:val="32"/>
          <w:u w:val="none"/>
        </w:rPr>
        <w:t>产品技术要求</w:t>
      </w:r>
      <w:r>
        <w:rPr>
          <w:rFonts w:hint="eastAsia" w:ascii="仿宋_GB2312" w:hAnsi="仿宋_GB2312" w:eastAsia="仿宋_GB2312" w:cs="仿宋_GB2312"/>
          <w:bCs/>
          <w:sz w:val="32"/>
          <w:szCs w:val="32"/>
          <w:u w:val="none"/>
          <w:lang w:eastAsia="zh-CN"/>
        </w:rPr>
        <w:t>的情形（已另案调查），</w:t>
      </w:r>
      <w:r>
        <w:rPr>
          <w:rFonts w:hint="eastAsia" w:ascii="Times New Roman" w:hAnsi="Times New Roman" w:eastAsia="仿宋_GB2312" w:cs="Times New Roman"/>
          <w:color w:val="auto"/>
          <w:spacing w:val="0"/>
          <w:kern w:val="0"/>
          <w:sz w:val="32"/>
          <w:szCs w:val="32"/>
          <w:lang w:val="zh-CN" w:eastAsia="zh-CN" w:bidi="ar"/>
        </w:rPr>
        <w:t>依法予以</w:t>
      </w:r>
      <w:r>
        <w:rPr>
          <w:rFonts w:hint="eastAsia" w:ascii="Times New Roman" w:hAnsi="Times New Roman" w:eastAsia="仿宋_GB2312" w:cs="Times New Roman"/>
          <w:spacing w:val="0"/>
          <w:sz w:val="32"/>
          <w:szCs w:val="32"/>
          <w:lang w:val="en-US" w:eastAsia="zh-CN"/>
        </w:rPr>
        <w:t>从重</w:t>
      </w:r>
      <w:r>
        <w:rPr>
          <w:rFonts w:hint="default" w:ascii="Times New Roman" w:hAnsi="Times New Roman" w:eastAsia="仿宋_GB2312" w:cs="Times New Roman"/>
          <w:spacing w:val="0"/>
          <w:sz w:val="32"/>
          <w:szCs w:val="32"/>
          <w:lang w:val="en-US" w:eastAsia="zh-CN"/>
        </w:rPr>
        <w:t>行政处罚</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lang w:eastAsia="zh-CN"/>
        </w:rPr>
        <w:t>综上，</w:t>
      </w:r>
      <w:r>
        <w:rPr>
          <w:rFonts w:hint="eastAsia" w:ascii="仿宋_GB2312" w:hAnsi="仿宋_GB2312" w:eastAsia="仿宋_GB2312" w:cs="仿宋_GB2312"/>
          <w:bCs/>
          <w:color w:val="000000"/>
          <w:sz w:val="32"/>
          <w:szCs w:val="32"/>
          <w:lang w:val="en-US" w:eastAsia="zh-CN"/>
        </w:rPr>
        <w:t>当事人生产不符合强制性标准的医疗器械医用一次性防护服的行为，违反了《医疗器械监督管理条例》（国务院令第739号）第七条、第三十五条第一款的规定，属于</w:t>
      </w:r>
      <w:bookmarkStart w:id="0" w:name="_GoBack"/>
      <w:bookmarkEnd w:id="0"/>
      <w:r>
        <w:rPr>
          <w:rFonts w:hint="eastAsia" w:ascii="仿宋_GB2312" w:hAnsi="仿宋_GB2312" w:eastAsia="仿宋_GB2312" w:cs="仿宋_GB2312"/>
          <w:bCs/>
          <w:color w:val="000000"/>
          <w:sz w:val="32"/>
          <w:szCs w:val="32"/>
          <w:lang w:val="en-US" w:eastAsia="zh-CN"/>
        </w:rPr>
        <w:t>《医疗器械监督管理条例》（国务院令第739号）第八十六条第一款第一项的情形，根据《中华人民共和国行政处罚法》（中华人民共和国主席令第七十号）第二十八条第二款、《医疗器械监督管理条例》（国务院令第739号）第八十六条第一款的规定，</w:t>
      </w:r>
      <w:r>
        <w:rPr>
          <w:rFonts w:hint="eastAsia" w:ascii="仿宋_GB2312" w:hAnsi="仿宋_GB2312" w:eastAsia="仿宋_GB2312" w:cs="仿宋_GB2312"/>
          <w:color w:val="000000"/>
          <w:sz w:val="32"/>
          <w:szCs w:val="32"/>
          <w:lang w:eastAsia="zh-CN"/>
        </w:rPr>
        <w:t>责令当事人改正违法行为并处罚如下：</w:t>
      </w:r>
      <w:r>
        <w:rPr>
          <w:rFonts w:hint="eastAsia" w:ascii="仿宋_GB2312" w:hAnsi="仿宋_GB2312" w:eastAsia="仿宋_GB2312" w:cs="仿宋_GB2312"/>
          <w:bCs/>
          <w:color w:val="000000"/>
          <w:sz w:val="32"/>
          <w:szCs w:val="32"/>
          <w:lang w:val="en-US" w:eastAsia="zh-CN"/>
        </w:rPr>
        <w:t>1、没收违法所得1800元；2、处41000元罚款。以上罚没款共计42800元。</w:t>
      </w:r>
      <w:r>
        <w:rPr>
          <w:rFonts w:hint="eastAsia" w:ascii="仿宋_GB2312" w:hAnsi="仿宋_GB2312" w:eastAsia="仿宋_GB2312" w:cs="仿宋_GB2312"/>
          <w:bCs/>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当事人接到本行政处罚决定之日起15日内至福建省药品监督管理局福州药品稽查办公室开具行政罚没收据，至各银行网点缴纳并将缴纳凭证送交我局。到期不缴纳罚款的，依据《中华人民共和国行政处罚法》第</w:t>
      </w:r>
      <w:r>
        <w:rPr>
          <w:rFonts w:hint="eastAsia" w:ascii="仿宋_GB2312" w:hAnsi="仿宋_GB2312" w:eastAsia="仿宋_GB2312" w:cs="仿宋_GB2312"/>
          <w:color w:val="000000"/>
          <w:sz w:val="32"/>
          <w:szCs w:val="32"/>
          <w:lang w:eastAsia="zh-CN"/>
        </w:rPr>
        <w:t>七十二</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eastAsia="zh-CN"/>
        </w:rPr>
        <w:t>第一项</w:t>
      </w:r>
      <w:r>
        <w:rPr>
          <w:rFonts w:hint="eastAsia" w:ascii="仿宋_GB2312" w:hAnsi="仿宋_GB2312" w:eastAsia="仿宋_GB2312" w:cs="仿宋_GB2312"/>
          <w:color w:val="000000"/>
          <w:sz w:val="32"/>
          <w:szCs w:val="32"/>
        </w:rPr>
        <w:t xml:space="preserve">的规定，本局将每日按罚款数额的百分之三加处罚款，并依法申请人民法院强制执行。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如当事人不服本行政处罚决定，可以在收到本行政处罚决定书之日起六十日内向福建省人民政府申请行政复议；也可以在六个月内依法向鼓楼区人民法院提起行政诉讼。申请行政复议或者提起行政诉讼期间，行政处罚不停止执行。</w:t>
      </w:r>
      <w:r>
        <w:rPr>
          <w:rFonts w:hint="eastAsia" w:ascii="仿宋_GB2312" w:hAnsi="仿宋_GB2312" w:eastAsia="仿宋_GB2312" w:cs="仿宋_GB2312"/>
          <w:bCs/>
          <w:color w:val="000000"/>
          <w:sz w:val="32"/>
          <w:szCs w:val="32"/>
        </w:rPr>
        <w:t xml:space="preserve">         </w:t>
      </w:r>
    </w:p>
    <w:p>
      <w:pPr>
        <w:keepNext w:val="0"/>
        <w:keepLines w:val="0"/>
        <w:pageBreakBefore w:val="0"/>
        <w:widowControl w:val="0"/>
        <w:kinsoku/>
        <w:overflowPunct/>
        <w:topLinePunct w:val="0"/>
        <w:autoSpaceDE/>
        <w:autoSpaceDN/>
        <w:bidi w:val="0"/>
        <w:adjustRightInd/>
        <w:spacing w:line="420" w:lineRule="exact"/>
        <w:ind w:firstLine="601"/>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overflowPunct/>
        <w:topLinePunct w:val="0"/>
        <w:autoSpaceDE/>
        <w:autoSpaceDN/>
        <w:bidi w:val="0"/>
        <w:adjustRightInd/>
        <w:spacing w:line="420" w:lineRule="exact"/>
        <w:ind w:firstLine="601"/>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overflowPunct/>
        <w:topLinePunct w:val="0"/>
        <w:autoSpaceDE/>
        <w:autoSpaceDN/>
        <w:bidi w:val="0"/>
        <w:adjustRightInd/>
        <w:spacing w:line="420" w:lineRule="exact"/>
        <w:ind w:right="640" w:firstLine="60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rPr>
        <w:t>日</w:t>
      </w:r>
    </w:p>
    <w:p>
      <w:pPr>
        <w:keepNext w:val="0"/>
        <w:keepLines w:val="0"/>
        <w:pageBreakBefore w:val="0"/>
        <w:widowControl w:val="0"/>
        <w:kinsoku/>
        <w:overflowPunct/>
        <w:topLinePunct w:val="0"/>
        <w:autoSpaceDE/>
        <w:autoSpaceDN/>
        <w:bidi w:val="0"/>
        <w:adjustRightInd/>
        <w:spacing w:line="420" w:lineRule="exact"/>
        <w:ind w:right="640" w:firstLine="600"/>
        <w:jc w:val="center"/>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overflowPunct/>
        <w:topLinePunct w:val="0"/>
        <w:autoSpaceDE/>
        <w:autoSpaceDN/>
        <w:bidi w:val="0"/>
        <w:adjustRightInd/>
        <w:spacing w:line="420" w:lineRule="exact"/>
        <w:ind w:right="640" w:firstLine="600"/>
        <w:jc w:val="center"/>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overflowPunct/>
        <w:topLinePunct w:val="0"/>
        <w:autoSpaceDE/>
        <w:autoSpaceDN/>
        <w:bidi w:val="0"/>
        <w:adjustRightInd/>
        <w:spacing w:line="420" w:lineRule="exact"/>
        <w:ind w:right="640" w:firstLine="600"/>
        <w:jc w:val="center"/>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val="0"/>
        <w:overflowPunct/>
        <w:topLinePunct w:val="0"/>
        <w:autoSpaceDE/>
        <w:autoSpaceDN/>
        <w:bidi w:val="0"/>
        <w:adjustRightInd/>
        <w:snapToGrid w:val="0"/>
        <w:spacing w:line="42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30"/>
          <w:szCs w:val="30"/>
        </w:rPr>
        <w:t>（药品监督管理部门将依法向社会公示本行政处罚决定信息）</w:t>
      </w:r>
    </w:p>
    <w:p>
      <w:pPr>
        <w:keepNext w:val="0"/>
        <w:keepLines w:val="0"/>
        <w:pageBreakBefore w:val="0"/>
        <w:widowControl w:val="0"/>
        <w:kinsoku/>
        <w:wordWrap w:val="0"/>
        <w:overflowPunct/>
        <w:topLinePunct w:val="0"/>
        <w:autoSpaceDE/>
        <w:autoSpaceDN/>
        <w:bidi w:val="0"/>
        <w:adjustRightInd/>
        <w:spacing w:line="420" w:lineRule="exac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sz w:val="32"/>
        </w:rPr>
        <mc:AlternateContent>
          <mc:Choice Requires="wps">
            <w:drawing>
              <wp:anchor distT="0" distB="0" distL="114300" distR="114300" simplePos="0" relativeHeight="251662336" behindDoc="0" locked="0" layoutInCell="1" allowOverlap="1">
                <wp:simplePos x="0" y="0"/>
                <wp:positionH relativeFrom="column">
                  <wp:posOffset>-115570</wp:posOffset>
                </wp:positionH>
                <wp:positionV relativeFrom="paragraph">
                  <wp:posOffset>172085</wp:posOffset>
                </wp:positionV>
                <wp:extent cx="5550535"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1pt;margin-top:13.55pt;height:0.05pt;width:437.05pt;z-index:251662336;mso-width-relative:page;mso-height-relative:page;" filled="f" stroked="t" coordsize="21600,21600" o:gfxdata="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tBP9C2QAAAAkBAAAPAAAAAAAAAAEAIAAAADgA&#10;AABkcnMvZG93bnJldi54bWxQSwECFAAUAAAACACHTuJAV13W4PIBAADrAwAADgAAAAAAAAABACAA&#10;AAA+AQAAZHJzL2Uyb0RvYy54bWxQSwUGAAAAAAYABgBZAQAAogUAAAAA&#10;">
                <v:fill on="f" focussize="0,0"/>
                <v:stroke weight="1.25pt" color="#000000" joinstyle="round"/>
                <v:imagedata o:title=""/>
                <o:lock v:ext="edit" aspectratio="f"/>
              </v:line>
            </w:pict>
          </mc:Fallback>
        </mc:AlternateContent>
      </w:r>
    </w:p>
    <w:p>
      <w:pPr>
        <w:keepNext w:val="0"/>
        <w:keepLines w:val="0"/>
        <w:pageBreakBefore w:val="0"/>
        <w:widowControl w:val="0"/>
        <w:kinsoku/>
        <w:wordWrap w:val="0"/>
        <w:overflowPunct/>
        <w:topLinePunct w:val="0"/>
        <w:autoSpaceDE/>
        <w:autoSpaceDN/>
        <w:bidi w:val="0"/>
        <w:adjustRightInd/>
        <w:spacing w:line="420" w:lineRule="exact"/>
        <w:textAlignment w:val="auto"/>
      </w:pPr>
      <w:r>
        <w:rPr>
          <w:rFonts w:ascii="Times New Roman" w:hAnsi="Times New Roman" w:eastAsia="仿宋_GB2312" w:cs="仿宋"/>
          <w:bCs/>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1312;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Ivv85HXAAAACgEAAA8AAAAAAAAAAQAgAAAA&#10;OAAAAGRycy9kb3ducmV2LnhtbFBLAQIUABQAAAAIAIdO4kDIIdYO9gEAAOkDAAAOAAAAAAAAAAEA&#10;IAAAADwBAABkcnMvZTJvRG9jLnhtbFBLBQYAAAAABgAGAFkBAACk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三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rPr>
        <w:t xml:space="preserve"> 一 </w:t>
      </w:r>
      <w:r>
        <w:rPr>
          <w:rFonts w:hint="eastAsia" w:ascii="Times New Roman" w:hAnsi="Times New Roman" w:eastAsia="仿宋_GB2312" w:cs="仿宋"/>
          <w:color w:val="000000"/>
          <w:sz w:val="32"/>
          <w:szCs w:val="32"/>
        </w:rPr>
        <w:t>份送达，一份归档，</w:t>
      </w:r>
      <w:r>
        <w:rPr>
          <w:rFonts w:hint="eastAsia" w:ascii="Times New Roman" w:hAnsi="Times New Roman" w:eastAsia="仿宋_GB2312" w:cs="仿宋"/>
          <w:color w:val="000000"/>
          <w:sz w:val="32"/>
          <w:szCs w:val="32"/>
          <w:u w:val="single"/>
        </w:rPr>
        <w:t xml:space="preserve"> 一份备</w:t>
      </w:r>
      <w:r>
        <w:rPr>
          <w:rFonts w:ascii="Times New Roman" w:hAnsi="Times New Roman" w:eastAsia="仿宋_GB2312" w:cs="仿宋"/>
          <w:color w:val="000000"/>
          <w:sz w:val="32"/>
          <w:szCs w:val="32"/>
          <w:u w:val="single"/>
        </w:rPr>
        <w:t>查</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文泉驿微米黑"/>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Mangal">
    <w:altName w:val="Noto Sans Syriac Eastern"/>
    <w:panose1 w:val="02040503050203030202"/>
    <w:charset w:val="00"/>
    <w:family w:val="roman"/>
    <w:pitch w:val="default"/>
    <w:sig w:usb0="00000000" w:usb1="00000000" w:usb2="00000000" w:usb3="00000000" w:csb0="00000001" w:csb1="00000000"/>
  </w:font>
  <w:font w:name="Noto Sans Syriac Eastern">
    <w:panose1 w:val="02040503050306020203"/>
    <w:charset w:val="86"/>
    <w:family w:val="auto"/>
    <w:pitch w:val="default"/>
    <w:sig w:usb0="00000000" w:usb1="00000000" w:usb2="00000080" w:usb3="00000000" w:csb0="203E0161" w:csb1="D7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文泉驿微米黑"/>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21DA5"/>
    <w:rsid w:val="000831E6"/>
    <w:rsid w:val="005D572B"/>
    <w:rsid w:val="00AB405A"/>
    <w:rsid w:val="00B42B86"/>
    <w:rsid w:val="00F27BA4"/>
    <w:rsid w:val="00F715CD"/>
    <w:rsid w:val="018D077E"/>
    <w:rsid w:val="053A0E02"/>
    <w:rsid w:val="0900116D"/>
    <w:rsid w:val="0BCB16FC"/>
    <w:rsid w:val="0FE3148B"/>
    <w:rsid w:val="10FD5447"/>
    <w:rsid w:val="19BA41E0"/>
    <w:rsid w:val="1CF92628"/>
    <w:rsid w:val="1FF76B5C"/>
    <w:rsid w:val="22300566"/>
    <w:rsid w:val="290B496A"/>
    <w:rsid w:val="334838CD"/>
    <w:rsid w:val="3435444C"/>
    <w:rsid w:val="3BFD2CC3"/>
    <w:rsid w:val="3C10226D"/>
    <w:rsid w:val="3F771465"/>
    <w:rsid w:val="3FF21DA5"/>
    <w:rsid w:val="3FF679A6"/>
    <w:rsid w:val="45FD5146"/>
    <w:rsid w:val="4B162C43"/>
    <w:rsid w:val="4D671F91"/>
    <w:rsid w:val="4D75360E"/>
    <w:rsid w:val="4E4F4FAA"/>
    <w:rsid w:val="55614A4C"/>
    <w:rsid w:val="5C8C580B"/>
    <w:rsid w:val="5FF55A15"/>
    <w:rsid w:val="65561177"/>
    <w:rsid w:val="67AB3712"/>
    <w:rsid w:val="67EF2FD2"/>
    <w:rsid w:val="6E7EF00A"/>
    <w:rsid w:val="6FEFA5BF"/>
    <w:rsid w:val="727F2390"/>
    <w:rsid w:val="7E39672F"/>
    <w:rsid w:val="7F66399B"/>
    <w:rsid w:val="7F817C64"/>
    <w:rsid w:val="97FD7C30"/>
    <w:rsid w:val="B6DF3356"/>
    <w:rsid w:val="BBFE2AAD"/>
    <w:rsid w:val="BFF9374C"/>
    <w:rsid w:val="CD2E3A9E"/>
    <w:rsid w:val="F77F60E2"/>
    <w:rsid w:val="FFBF371E"/>
    <w:rsid w:val="FFD6E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NormalCharacter"/>
    <w:qFormat/>
    <w:uiPriority w:val="0"/>
    <w:rPr>
      <w:rFonts w:ascii="Times New Roman" w:hAnsi="Times New Roman" w:eastAsia="宋体"/>
      <w:lang w:val="en-US"/>
    </w:rPr>
  </w:style>
  <w:style w:type="character" w:customStyle="1" w:styleId="10">
    <w:name w:val="批注框文本 字符"/>
    <w:basedOn w:val="8"/>
    <w:link w:val="3"/>
    <w:qFormat/>
    <w:uiPriority w:val="0"/>
    <w:rPr>
      <w:rFonts w:ascii="Calibri" w:hAnsi="Calibri"/>
      <w:kern w:val="2"/>
      <w:sz w:val="18"/>
      <w:szCs w:val="18"/>
    </w:rPr>
  </w:style>
  <w:style w:type="paragraph" w:customStyle="1"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423</Words>
  <Characters>2413</Characters>
  <Lines>20</Lines>
  <Paragraphs>5</Paragraphs>
  <TotalTime>6</TotalTime>
  <ScaleCrop>false</ScaleCrop>
  <LinksUpToDate>false</LinksUpToDate>
  <CharactersWithSpaces>2831</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2019-09-25T21:07:00Z</dcterms:created>
  <dc:creator>林振顺</dc:creator>
  <cp:lastModifiedBy>林振顺</cp:lastModifiedBy>
  <cp:lastPrinted>2023-08-31T04:38:00Z</cp:lastPrinted>
  <dcterms:modified xsi:type="dcterms:W3CDTF">2023-09-08T09:56:01Z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98F6F757A1A74C198353095B989032A5</vt:lpwstr>
  </property>
</Properties>
</file>