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福建九州通中化医药有限公司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91350302MA32TKJ24T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04" w:right="0" w:rightChars="0" w:hanging="2304" w:hangingChars="7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福建省莆田市荔城区拱辰街道东圳东路1199号中海天下1号楼501室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法定代表人（负责人、经营者）：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40" w:right="0" w:rightChars="0" w:hanging="1386" w:hangingChars="45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游县市场监督管理局案件线索告知函，经查当事人销售的浮萍（生产企业：河北仁心药业有限公司，包装规格：0.5kg/袋，批号：27122001）经莆田市食品药品检验检测中心检验，检验项目【检查】项下“水分”按《中国药典》2020年版一部检验，结果不符合规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《中华人民共和国药品管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理法》（以下简称《药品管理法》）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第九十八条第三款第（七）项的规定应为劣药。</w:t>
      </w:r>
    </w:p>
    <w:p>
      <w:pPr>
        <w:tabs>
          <w:tab w:val="center" w:pos="4153"/>
          <w:tab w:val="right" w:pos="8306"/>
        </w:tabs>
        <w:spacing w:beforeLines="0" w:afterLines="0" w:line="58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经查明，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以18.8元/kg的价格从福建九州通医药有限公司购进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浮萍2.5kg，总购入价款47元。经验收合格入库后，销售给莆田市荔城区参草林大药房等3家涉药单位共计2.0kg，销售金额44元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1.35kg,</w:t>
      </w:r>
      <w:r>
        <w:rPr>
          <w:rFonts w:hint="eastAsia" w:ascii="仿宋_GB2312" w:hAnsi="仿宋_GB2312" w:eastAsia="仿宋_GB2312" w:cs="仿宋_GB2312"/>
          <w:sz w:val="32"/>
          <w:szCs w:val="32"/>
        </w:rPr>
        <w:t>销退金额18.7元。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综上，当事人实际销售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sz w:val="32"/>
          <w:szCs w:val="32"/>
        </w:rPr>
        <w:t>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，销售金额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进货渠道合法，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履行了相应的法定义务，所提供的相关记录和证明材料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真实合法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仙游县市场监督管理局案件线索告知函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检验报告书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购进记录、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现场笔录、调查询问笔录、采购订单、销售记录、销售退回记录、购销凭证、温湿度数据波形图、照片等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2023年4月27日，本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办将行政处罚告知书依法送达当事人，并告知当事人具有陈述申辩的权利。截止5月8日，当事人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未提起陈述和申辩。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本办认为，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当事人销售劣药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浮萍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的行为，违反了《药品管理法》第九十八条第一款规定。依据《药品管理法》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第一百一十七条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《药品管理法实施条例》第七十五条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处罚如下：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没收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销售劣药浮萍违法所得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62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免于其他行政处罚。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D3A61"/>
    <w:multiLevelType w:val="singleLevel"/>
    <w:tmpl w:val="616D3A6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0FBF1DFA"/>
    <w:rsid w:val="1299763A"/>
    <w:rsid w:val="13951A5D"/>
    <w:rsid w:val="214F23CD"/>
    <w:rsid w:val="2235092F"/>
    <w:rsid w:val="233A2C2F"/>
    <w:rsid w:val="3C340AB4"/>
    <w:rsid w:val="3CFF1463"/>
    <w:rsid w:val="43941E63"/>
    <w:rsid w:val="452C208B"/>
    <w:rsid w:val="4D9C59BC"/>
    <w:rsid w:val="577A0985"/>
    <w:rsid w:val="6CA0320D"/>
    <w:rsid w:val="6D6A2713"/>
    <w:rsid w:val="7F1A5A5B"/>
    <w:rsid w:val="BBFD48B2"/>
    <w:rsid w:val="FBDCE002"/>
    <w:rsid w:val="FD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2021-10-19T22:38:00Z</dcterms:created>
  <dc:creator>詹德忠/fjfda</dc:creator>
  <cp:lastModifiedBy>陈绍烟</cp:lastModifiedBy>
  <cp:lastPrinted>2023-05-09T22:42:00Z</cp:lastPrinted>
  <dcterms:modified xsi:type="dcterms:W3CDTF">2023-09-07T09:20:41Z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