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w:t>
      </w:r>
      <w:r>
        <w:rPr>
          <w:rFonts w:hint="eastAsia" w:ascii="Times New Roman" w:hAnsi="Times New Roman" w:eastAsia="方正小标宋简体" w:cs="方正小标宋简体"/>
          <w:bCs/>
          <w:color w:val="auto"/>
          <w:sz w:val="44"/>
          <w:szCs w:val="44"/>
          <w:lang w:eastAsia="zh-CN"/>
        </w:rPr>
        <w:t>厦门药品稽查办公室</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jc w:val="center"/>
        <w:rPr>
          <w:rFonts w:hint="eastAsia" w:ascii="楷体" w:hAnsi="楷体" w:eastAsia="楷体" w:cs="楷体"/>
          <w:b w:val="0"/>
          <w:bCs w:val="0"/>
          <w:sz w:val="32"/>
          <w:szCs w:val="32"/>
          <w:u w:val="single"/>
          <w:lang w:val="en-US" w:eastAsia="zh-CN"/>
        </w:rPr>
      </w:pPr>
      <w:r>
        <w:rPr>
          <w:rFonts w:hint="eastAsia" w:ascii="楷体" w:hAnsi="楷体" w:eastAsia="楷体" w:cs="楷体"/>
          <w:b w:val="0"/>
          <w:bCs w:val="0"/>
          <w:sz w:val="32"/>
          <w:szCs w:val="32"/>
          <w:u w:val="none"/>
          <w:lang w:val="en-US" w:eastAsia="zh-CN"/>
        </w:rPr>
        <w:t>闽药监厦稽办〔2022〕</w:t>
      </w:r>
      <w:r>
        <w:rPr>
          <w:rFonts w:hint="eastAsia" w:ascii="楷体" w:hAnsi="楷体" w:eastAsia="楷体" w:cs="楷体"/>
          <w:b w:val="0"/>
          <w:bCs w:val="0"/>
          <w:color w:val="auto"/>
          <w:sz w:val="32"/>
          <w:szCs w:val="32"/>
          <w:u w:val="none"/>
          <w:lang w:val="en-US" w:eastAsia="zh-CN"/>
        </w:rPr>
        <w:t>4-009</w:t>
      </w:r>
      <w:r>
        <w:rPr>
          <w:rFonts w:hint="eastAsia" w:ascii="楷体" w:hAnsi="楷体" w:eastAsia="楷体" w:cs="楷体"/>
          <w:b w:val="0"/>
          <w:bCs w:val="0"/>
          <w:sz w:val="32"/>
          <w:szCs w:val="32"/>
          <w:u w:val="none"/>
          <w:lang w:val="en-US" w:eastAsia="zh-CN"/>
        </w:rPr>
        <w:t>号</w:t>
      </w:r>
    </w:p>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32"/>
          <w:szCs w:val="32"/>
          <w:lang w:val="en-US" w:eastAsia="zh-CN"/>
        </w:rPr>
        <w:t>舒嘉丽（福建）日化有限公司</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lang w:val="en-US" w:eastAsia="zh-CN"/>
        </w:rPr>
        <w:t>91350681727936010F</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ascii="仿宋" w:hAnsi="仿宋" w:eastAsia="仿宋" w:cs="仿宋"/>
          <w:kern w:val="0"/>
          <w:sz w:val="32"/>
          <w:szCs w:val="32"/>
          <w:lang w:bidi="ar"/>
        </w:rPr>
      </w:pPr>
      <w:r>
        <w:rPr>
          <w:rFonts w:hint="eastAsia" w:ascii="仿宋" w:hAnsi="仿宋" w:eastAsia="仿宋" w:cs="仿宋"/>
          <w:sz w:val="32"/>
          <w:szCs w:val="32"/>
          <w:u w:val="none"/>
          <w:lang w:val="en-US" w:eastAsia="zh-CN"/>
        </w:rPr>
        <w:t>住所：</w:t>
      </w:r>
      <w:r>
        <w:rPr>
          <w:rFonts w:hint="eastAsia" w:ascii="仿宋" w:hAnsi="仿宋" w:eastAsia="仿宋" w:cs="仿宋"/>
          <w:sz w:val="32"/>
          <w:szCs w:val="32"/>
          <w:lang w:val="en-US" w:eastAsia="zh-CN"/>
        </w:rPr>
        <w:t>福建省龙海市月港工业区（海澄镇九二一北路72号）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我办</w:t>
      </w:r>
      <w:r>
        <w:rPr>
          <w:rFonts w:hint="eastAsia" w:ascii="仿宋" w:hAnsi="仿宋" w:eastAsia="仿宋" w:cs="仿宋"/>
          <w:sz w:val="32"/>
          <w:szCs w:val="32"/>
          <w:lang w:val="en-US" w:eastAsia="zh-CN"/>
        </w:rPr>
        <w:t>收到江西省药品监督管理局化妆品监督抽检核查函（赣妆核[2022]10号），舒嘉丽（福建）日化有限公司生产的批号为2022010801“布朗天使婴儿艾叶洗发沐浴露”化妆品，经吉安市食品药品检验检测中心检验检出甲基异噻唑啉酮为0.02%（检验报告书编号：HC20220034），不符合规定。我办</w:t>
      </w:r>
      <w:r>
        <w:rPr>
          <w:rFonts w:hint="eastAsia" w:ascii="仿宋" w:eastAsia="仿宋" w:cs="仿宋"/>
          <w:sz w:val="32"/>
          <w:szCs w:val="32"/>
          <w:lang w:eastAsia="zh-CN"/>
        </w:rPr>
        <w:t>执法</w:t>
      </w:r>
      <w:r>
        <w:rPr>
          <w:rFonts w:hint="eastAsia" w:ascii="仿宋" w:eastAsia="仿宋" w:cs="仿宋"/>
          <w:kern w:val="0"/>
          <w:sz w:val="32"/>
          <w:szCs w:val="32"/>
        </w:rPr>
        <w:t>人员</w:t>
      </w:r>
      <w:r>
        <w:rPr>
          <w:rFonts w:hint="eastAsia" w:ascii="仿宋" w:eastAsia="仿宋" w:cs="仿宋"/>
          <w:kern w:val="0"/>
          <w:sz w:val="32"/>
          <w:szCs w:val="32"/>
          <w:lang w:eastAsia="zh-CN"/>
        </w:rPr>
        <w:t>送达了检验报告</w:t>
      </w:r>
      <w:r>
        <w:rPr>
          <w:rFonts w:hint="eastAsia" w:ascii="仿宋" w:eastAsia="仿宋" w:cs="仿宋"/>
          <w:kern w:val="0"/>
          <w:sz w:val="32"/>
          <w:szCs w:val="32"/>
          <w:lang w:val="en-US" w:eastAsia="zh-CN"/>
        </w:rPr>
        <w:t>并要求当事人对抽检不合格产品采取风险防控措施。当事人</w:t>
      </w:r>
      <w:r>
        <w:rPr>
          <w:rFonts w:hint="eastAsia" w:ascii="仿宋" w:hAnsi="仿宋" w:eastAsia="仿宋" w:cs="仿宋"/>
          <w:sz w:val="32"/>
          <w:szCs w:val="32"/>
          <w:lang w:val="en-US" w:eastAsia="zh-CN"/>
        </w:rPr>
        <w:t>提出复检申请，经</w:t>
      </w:r>
      <w:r>
        <w:rPr>
          <w:rFonts w:hint="eastAsia" w:ascii="仿宋" w:eastAsia="仿宋" w:cs="仿宋"/>
          <w:kern w:val="0"/>
          <w:sz w:val="32"/>
          <w:szCs w:val="32"/>
          <w:lang w:val="en-US" w:eastAsia="zh-CN"/>
        </w:rPr>
        <w:t>江西省药品检验检测研究院</w:t>
      </w:r>
      <w:r>
        <w:rPr>
          <w:rFonts w:hint="eastAsia" w:ascii="仿宋" w:hAnsi="仿宋" w:eastAsia="仿宋" w:cs="仿宋"/>
          <w:sz w:val="32"/>
          <w:szCs w:val="32"/>
          <w:lang w:val="en-US" w:eastAsia="zh-CN"/>
        </w:rPr>
        <w:t>复检检出甲基异噻唑啉酮为0.017%（检验报告书编号：</w:t>
      </w:r>
      <w:r>
        <w:rPr>
          <w:rFonts w:hint="eastAsia" w:ascii="仿宋" w:eastAsia="仿宋" w:cs="仿宋"/>
          <w:kern w:val="0"/>
          <w:sz w:val="32"/>
          <w:szCs w:val="32"/>
          <w:lang w:val="en-US" w:eastAsia="zh-CN"/>
        </w:rPr>
        <w:t>NO：HZFY20220004</w:t>
      </w:r>
      <w:r>
        <w:rPr>
          <w:rFonts w:hint="eastAsia" w:ascii="仿宋" w:hAnsi="仿宋" w:eastAsia="仿宋" w:cs="仿宋"/>
          <w:sz w:val="32"/>
          <w:szCs w:val="32"/>
          <w:lang w:val="en-US" w:eastAsia="zh-CN"/>
        </w:rPr>
        <w:t>），不符合规定。。</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为进一步查明事实，我办依法对当事人立案调查。调查过程中，执法人员依法取得当事人提供的相关证明材料，制作现场笔录、询问笔录，期间未采取行政强制措施。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经查，当事人为布朗天使婴儿艾叶洗发沐浴露（备案编号为闽G妆网备字2020003639）备案人，涉案批次产品</w:t>
      </w:r>
      <w:r>
        <w:rPr>
          <w:rFonts w:hint="eastAsia" w:ascii="仿宋" w:hAnsi="仿宋" w:eastAsia="仿宋" w:cs="仿宋"/>
          <w:sz w:val="32"/>
          <w:szCs w:val="32"/>
          <w:lang w:eastAsia="zh-CN"/>
        </w:rPr>
        <w:t>检出的</w:t>
      </w:r>
      <w:r>
        <w:rPr>
          <w:rFonts w:hint="eastAsia" w:ascii="仿宋" w:hAnsi="仿宋" w:eastAsia="仿宋" w:cs="仿宋"/>
          <w:sz w:val="32"/>
          <w:szCs w:val="32"/>
          <w:lang w:val="en-US" w:eastAsia="zh-CN"/>
        </w:rPr>
        <w:t>甲基异噻唑啉酮不符合《化妆品安全技术规范》（2015年版）要求。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62" w:firstLineChars="200"/>
        <w:textAlignment w:val="auto"/>
        <w:rPr>
          <w:rFonts w:hint="eastAsia" w:ascii="仿宋" w:eastAsia="仿宋" w:cs="仿宋"/>
          <w:kern w:val="0"/>
          <w:sz w:val="32"/>
          <w:szCs w:val="32"/>
          <w:lang w:val="en-US" w:eastAsia="zh-CN"/>
        </w:rPr>
      </w:pPr>
      <w:r>
        <w:rPr>
          <w:rFonts w:hint="default" w:ascii="仿宋" w:hAnsi="仿宋" w:eastAsia="仿宋" w:cs="仿宋"/>
          <w:sz w:val="32"/>
          <w:szCs w:val="32"/>
        </w:rPr>
        <w:t>当事人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生产</w:t>
      </w:r>
      <w:r>
        <w:rPr>
          <w:rFonts w:hint="default" w:ascii="仿宋" w:eastAsia="仿宋" w:cs="仿宋"/>
          <w:kern w:val="0"/>
          <w:sz w:val="32"/>
          <w:szCs w:val="32"/>
          <w:lang w:eastAsia="zh-CN"/>
        </w:rPr>
        <w:t>2022010801</w:t>
      </w:r>
      <w:r>
        <w:rPr>
          <w:rFonts w:hint="eastAsia" w:ascii="仿宋" w:hAnsi="仿宋" w:eastAsia="仿宋" w:cs="仿宋"/>
          <w:sz w:val="32"/>
          <w:szCs w:val="32"/>
          <w:lang w:val="en-US" w:eastAsia="zh-CN"/>
        </w:rPr>
        <w:t>批次</w:t>
      </w:r>
      <w:r>
        <w:rPr>
          <w:rFonts w:hint="default" w:ascii="仿宋" w:eastAsia="仿宋" w:cs="仿宋"/>
          <w:kern w:val="0"/>
          <w:sz w:val="32"/>
          <w:szCs w:val="32"/>
          <w:lang w:eastAsia="zh-CN"/>
        </w:rPr>
        <w:t>布朗天使婴儿艾叶洗发沐浴露</w:t>
      </w:r>
      <w:r>
        <w:rPr>
          <w:rFonts w:hint="eastAsia" w:ascii="仿宋" w:eastAsia="仿宋" w:cs="仿宋"/>
          <w:kern w:val="0"/>
          <w:sz w:val="32"/>
          <w:szCs w:val="32"/>
          <w:lang w:val="en-US" w:eastAsia="zh-CN"/>
        </w:rPr>
        <w:t>290瓶（检验用2瓶，留样1瓶），因称量岗位员工称量原料MT出现差错，复核人员没有复核，导致投料超量，</w:t>
      </w:r>
      <w:r>
        <w:rPr>
          <w:rFonts w:hint="default" w:ascii="仿宋" w:eastAsia="仿宋" w:cs="仿宋"/>
          <w:kern w:val="0"/>
          <w:sz w:val="32"/>
          <w:szCs w:val="32"/>
          <w:lang w:val="en-US" w:eastAsia="zh-CN"/>
        </w:rPr>
        <w:t>制作搅拌不均匀，</w:t>
      </w:r>
      <w:r>
        <w:rPr>
          <w:rFonts w:hint="eastAsia" w:ascii="仿宋" w:eastAsia="仿宋" w:cs="仿宋"/>
          <w:kern w:val="0"/>
          <w:sz w:val="32"/>
          <w:szCs w:val="32"/>
          <w:lang w:val="en-US" w:eastAsia="zh-CN"/>
        </w:rPr>
        <w:t>造成甲基异噻唑啉酮不符合规定。该批次产品已全部销售，销售收入为2238.6元。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eastAsia="仿宋" w:cs="仿宋"/>
          <w:kern w:val="0"/>
          <w:sz w:val="32"/>
          <w:szCs w:val="32"/>
          <w:lang w:val="en-US" w:eastAsia="zh-CN"/>
        </w:rPr>
        <w:t>事人2022年9月2日通知经销商暂停销售该批次产品后启动召回程序，截止2022年12月14日合计共召回101瓶，退回货款787.8元。</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上述事实，</w:t>
      </w:r>
      <w:r>
        <w:rPr>
          <w:rFonts w:hint="eastAsia" w:ascii="仿宋" w:hAnsi="仿宋" w:eastAsia="仿宋" w:cs="仿宋"/>
          <w:b w:val="0"/>
          <w:bCs w:val="0"/>
          <w:color w:val="auto"/>
          <w:sz w:val="32"/>
          <w:szCs w:val="32"/>
          <w:lang w:eastAsia="zh-CN"/>
        </w:rPr>
        <w:t>主要有</w:t>
      </w:r>
      <w:r>
        <w:rPr>
          <w:rFonts w:hint="eastAsia" w:ascii="仿宋" w:hAnsi="仿宋" w:eastAsia="仿宋" w:cs="仿宋"/>
          <w:color w:val="auto"/>
          <w:sz w:val="32"/>
          <w:szCs w:val="32"/>
          <w:lang w:eastAsia="zh-CN"/>
        </w:rPr>
        <w:t>现场检查笔录、询问调查笔录、当事人营业执照、</w:t>
      </w:r>
      <w:r>
        <w:rPr>
          <w:rFonts w:hint="eastAsia" w:ascii="仿宋" w:hAnsi="仿宋" w:eastAsia="仿宋" w:cs="仿宋"/>
          <w:color w:val="auto"/>
          <w:sz w:val="32"/>
          <w:szCs w:val="32"/>
          <w:lang w:val="en-US" w:eastAsia="zh-CN"/>
        </w:rPr>
        <w:t>化妆品生产许可证</w:t>
      </w:r>
      <w:r>
        <w:rPr>
          <w:rFonts w:hint="eastAsia" w:ascii="仿宋" w:hAnsi="仿宋" w:eastAsia="仿宋" w:cs="仿宋"/>
          <w:color w:val="auto"/>
          <w:sz w:val="32"/>
          <w:szCs w:val="32"/>
          <w:lang w:eastAsia="zh-CN"/>
        </w:rPr>
        <w:t>、相关人员身份证明材料、产品备案资料、检验报告、批生产记录、产品销售资料、</w:t>
      </w:r>
      <w:r>
        <w:rPr>
          <w:rFonts w:hint="eastAsia" w:ascii="仿宋" w:hAnsi="仿宋" w:eastAsia="仿宋" w:cs="仿宋"/>
          <w:sz w:val="32"/>
          <w:szCs w:val="32"/>
          <w:lang w:val="en-US" w:eastAsia="zh-CN"/>
        </w:rPr>
        <w:t>产品抽检不合格自查整改报告、</w:t>
      </w:r>
      <w:r>
        <w:rPr>
          <w:rFonts w:hint="eastAsia" w:ascii="仿宋" w:hAnsi="仿宋" w:eastAsia="仿宋" w:cs="仿宋"/>
          <w:sz w:val="32"/>
          <w:szCs w:val="32"/>
          <w:lang w:eastAsia="zh-CN"/>
        </w:rPr>
        <w:t>采取风险控制措施及复检告知承诺书及召回报告</w:t>
      </w:r>
      <w:r>
        <w:rPr>
          <w:rFonts w:hint="eastAsia" w:ascii="仿宋" w:hAnsi="仿宋" w:eastAsia="仿宋" w:cs="仿宋"/>
          <w:color w:val="auto"/>
          <w:sz w:val="32"/>
          <w:szCs w:val="32"/>
          <w:lang w:eastAsia="zh-CN"/>
        </w:rPr>
        <w:t>等证据材料予以证明，事实清楚，证据确凿</w:t>
      </w:r>
      <w:r>
        <w:rPr>
          <w:rFonts w:hint="default"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2023年1月6日，</w:t>
      </w:r>
      <w:r>
        <w:rPr>
          <w:rFonts w:hint="eastAsia" w:ascii="仿宋" w:hAnsi="仿宋" w:eastAsia="仿宋" w:cs="仿宋"/>
          <w:color w:val="auto"/>
          <w:sz w:val="32"/>
          <w:szCs w:val="32"/>
          <w:lang w:val="en-US" w:eastAsia="zh-CN"/>
        </w:rPr>
        <w:t>我办执法人员将行政处罚告知书直接送达当事人，并告知当事人具有陈述、申辩的权利。当事人在法定期限内未提出陈述、申辩。</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我办认为，当事人</w:t>
      </w:r>
      <w:r>
        <w:rPr>
          <w:rFonts w:hint="eastAsia" w:ascii="仿宋" w:hAnsi="仿宋" w:eastAsia="仿宋" w:cs="仿宋"/>
          <w:color w:val="auto"/>
          <w:sz w:val="32"/>
          <w:szCs w:val="32"/>
        </w:rPr>
        <w:t>生产销售的化妆品</w:t>
      </w:r>
      <w:r>
        <w:rPr>
          <w:rFonts w:hint="eastAsia" w:ascii="仿宋" w:hAnsi="仿宋" w:eastAsia="仿宋" w:cs="仿宋"/>
          <w:color w:val="auto"/>
          <w:sz w:val="32"/>
          <w:szCs w:val="32"/>
          <w:lang w:val="en-US" w:eastAsia="zh-CN"/>
        </w:rPr>
        <w:t>布朗天使婴儿艾叶洗发沐浴露（批号为2022010801）经检验，甲基异噻唑啉酮项目</w:t>
      </w:r>
      <w:r>
        <w:rPr>
          <w:rFonts w:hint="eastAsia" w:ascii="仿宋" w:hAnsi="仿宋" w:eastAsia="仿宋" w:cs="仿宋"/>
          <w:sz w:val="32"/>
          <w:szCs w:val="32"/>
          <w:lang w:val="en-US" w:eastAsia="zh-CN"/>
        </w:rPr>
        <w:t>不符合《化妆品安全技术规范》（2015年版）要求</w:t>
      </w:r>
      <w:r>
        <w:rPr>
          <w:rFonts w:hint="eastAsia" w:ascii="仿宋" w:hAnsi="仿宋" w:eastAsia="仿宋" w:cs="仿宋"/>
          <w:color w:val="auto"/>
          <w:sz w:val="32"/>
          <w:szCs w:val="32"/>
          <w:lang w:val="en-US" w:eastAsia="zh-CN"/>
        </w:rPr>
        <w:t>。属于违反《化妆品监督管理条例》第六十条第（二）项规定的行为。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综上，根据《中华人民共和国行政处罚法》第二十八条第一款“行政机关实施行政处罚时，应当责令当事人改正或者限期改正违法行为”的规定，责令当事人改正上述违法行为。鉴于当事人积极配合调查且对上述批次化妆品实施召回，我</w:t>
      </w:r>
      <w:r>
        <w:rPr>
          <w:rFonts w:hint="eastAsia" w:ascii="仿宋" w:hAnsi="仿宋" w:eastAsia="仿宋" w:cs="仿宋"/>
          <w:color w:val="auto"/>
          <w:sz w:val="32"/>
          <w:szCs w:val="32"/>
        </w:rPr>
        <w:t>办依据《化妆品监督管理条例》第六十条第（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二）生产经营不符合强制性国家标准、技术规范或者不符合化妆品注册、备案资料载明的技术要求的化妆品；</w:t>
      </w:r>
      <w:r>
        <w:rPr>
          <w:rFonts w:hint="eastAsia" w:ascii="仿宋" w:hAnsi="仿宋" w:eastAsia="仿宋" w:cs="仿宋"/>
          <w:color w:val="auto"/>
          <w:sz w:val="32"/>
          <w:szCs w:val="32"/>
        </w:rPr>
        <w:t>”的规定，</w:t>
      </w:r>
      <w:r>
        <w:rPr>
          <w:rFonts w:hint="eastAsia" w:ascii="仿宋" w:hAnsi="仿宋" w:eastAsia="仿宋" w:cs="仿宋"/>
          <w:color w:val="auto"/>
          <w:sz w:val="32"/>
          <w:szCs w:val="32"/>
          <w:lang w:eastAsia="zh-CN"/>
        </w:rPr>
        <w:t>责令当事人改正并处理</w:t>
      </w:r>
      <w:r>
        <w:rPr>
          <w:rFonts w:hint="eastAsia" w:ascii="仿宋" w:hAnsi="仿宋" w:eastAsia="仿宋" w:cs="仿宋"/>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1、没收召回涉案产品101瓶；</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2、没收当事人违法所得1450.8元并处罚款38000元。</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sz w:val="32"/>
          <w:szCs w:val="32"/>
          <w:lang w:val="en-US" w:eastAsia="zh-CN"/>
        </w:rPr>
        <w:t>罚没款共计39450.8元。</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当事人应自接到本行政处罚决定之日起15日内缴纳上述罚没款。当事人根据</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adjustRightInd/>
        <w:spacing w:line="620" w:lineRule="exact"/>
        <w:ind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厦门药品稽查办公室</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2023年2月</w:t>
      </w:r>
      <w:r>
        <w:rPr>
          <w:rFonts w:hint="eastAsia" w:ascii="仿宋" w:hAnsi="仿宋" w:eastAsia="仿宋" w:cs="仿宋"/>
          <w:b w:val="0"/>
          <w:bCs w:val="0"/>
          <w:color w:val="auto"/>
          <w:sz w:val="32"/>
          <w:szCs w:val="32"/>
          <w:u w:val="none"/>
          <w:lang w:val="en-US" w:eastAsia="zh-CN"/>
        </w:rPr>
        <w:t>6</w:t>
      </w:r>
      <w:r>
        <w:rPr>
          <w:rFonts w:hint="eastAsia" w:ascii="仿宋" w:hAnsi="仿宋" w:eastAsia="仿宋" w:cs="仿宋"/>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AE7880"/>
    <w:rsid w:val="02B80CC8"/>
    <w:rsid w:val="04467AFD"/>
    <w:rsid w:val="06861136"/>
    <w:rsid w:val="07234B0E"/>
    <w:rsid w:val="074C6CE7"/>
    <w:rsid w:val="08A72C15"/>
    <w:rsid w:val="09BA3057"/>
    <w:rsid w:val="0A03729A"/>
    <w:rsid w:val="0C4F3930"/>
    <w:rsid w:val="0CC7487E"/>
    <w:rsid w:val="0D071397"/>
    <w:rsid w:val="0D0A4234"/>
    <w:rsid w:val="0DAD283D"/>
    <w:rsid w:val="0FDD4776"/>
    <w:rsid w:val="122C2C51"/>
    <w:rsid w:val="13BA7CF1"/>
    <w:rsid w:val="153A2B84"/>
    <w:rsid w:val="16280ADA"/>
    <w:rsid w:val="17790F19"/>
    <w:rsid w:val="17D72156"/>
    <w:rsid w:val="19A05D17"/>
    <w:rsid w:val="1A4A07BB"/>
    <w:rsid w:val="1A614BFE"/>
    <w:rsid w:val="1AB07A5A"/>
    <w:rsid w:val="1BF427A7"/>
    <w:rsid w:val="1D312A67"/>
    <w:rsid w:val="1D785941"/>
    <w:rsid w:val="1D9A2236"/>
    <w:rsid w:val="1ED95962"/>
    <w:rsid w:val="1F70F614"/>
    <w:rsid w:val="1F7E2D68"/>
    <w:rsid w:val="1F8C0992"/>
    <w:rsid w:val="1FFFD72C"/>
    <w:rsid w:val="234A76C1"/>
    <w:rsid w:val="23B11F26"/>
    <w:rsid w:val="240A2BE1"/>
    <w:rsid w:val="24567FA5"/>
    <w:rsid w:val="25C25ABF"/>
    <w:rsid w:val="27761A90"/>
    <w:rsid w:val="2814305F"/>
    <w:rsid w:val="2B302B92"/>
    <w:rsid w:val="2BBA451A"/>
    <w:rsid w:val="2BCA1BD8"/>
    <w:rsid w:val="2BCE0C18"/>
    <w:rsid w:val="2DB1343A"/>
    <w:rsid w:val="2DD17C79"/>
    <w:rsid w:val="2E2B11AE"/>
    <w:rsid w:val="2EE02BD7"/>
    <w:rsid w:val="30006B77"/>
    <w:rsid w:val="32B630F7"/>
    <w:rsid w:val="32E331F9"/>
    <w:rsid w:val="35B75EF0"/>
    <w:rsid w:val="35D4032A"/>
    <w:rsid w:val="35FEBBB1"/>
    <w:rsid w:val="3610509D"/>
    <w:rsid w:val="36C12A58"/>
    <w:rsid w:val="37CB0DFF"/>
    <w:rsid w:val="37DBD832"/>
    <w:rsid w:val="3A956312"/>
    <w:rsid w:val="3B6C35CC"/>
    <w:rsid w:val="3CAF761D"/>
    <w:rsid w:val="3CDD75B2"/>
    <w:rsid w:val="3DD12613"/>
    <w:rsid w:val="3F657A40"/>
    <w:rsid w:val="3F9EF29C"/>
    <w:rsid w:val="41D227C5"/>
    <w:rsid w:val="42C72F56"/>
    <w:rsid w:val="44171C9F"/>
    <w:rsid w:val="44C66A69"/>
    <w:rsid w:val="45694BA5"/>
    <w:rsid w:val="479E54F9"/>
    <w:rsid w:val="48C356E3"/>
    <w:rsid w:val="496356E9"/>
    <w:rsid w:val="4BFE0C29"/>
    <w:rsid w:val="4BFE3402"/>
    <w:rsid w:val="4CA17D49"/>
    <w:rsid w:val="4CDF4ADC"/>
    <w:rsid w:val="4FC1421C"/>
    <w:rsid w:val="50165435"/>
    <w:rsid w:val="51CE096B"/>
    <w:rsid w:val="53A07F19"/>
    <w:rsid w:val="53F339B6"/>
    <w:rsid w:val="57AF35AA"/>
    <w:rsid w:val="57AF6F70"/>
    <w:rsid w:val="57B224AA"/>
    <w:rsid w:val="5A7F36F8"/>
    <w:rsid w:val="5ABB5486"/>
    <w:rsid w:val="5ADA6F82"/>
    <w:rsid w:val="5B95462A"/>
    <w:rsid w:val="5BE046AA"/>
    <w:rsid w:val="5BFFC2AA"/>
    <w:rsid w:val="5CAE5E05"/>
    <w:rsid w:val="5CBB67FC"/>
    <w:rsid w:val="5ED736D7"/>
    <w:rsid w:val="5F26651E"/>
    <w:rsid w:val="5FEE528B"/>
    <w:rsid w:val="5FFF9CCF"/>
    <w:rsid w:val="61F82039"/>
    <w:rsid w:val="635C1BED"/>
    <w:rsid w:val="63620474"/>
    <w:rsid w:val="63F418CB"/>
    <w:rsid w:val="641401EF"/>
    <w:rsid w:val="64F75DED"/>
    <w:rsid w:val="66ED17A8"/>
    <w:rsid w:val="67147E51"/>
    <w:rsid w:val="67BF5877"/>
    <w:rsid w:val="684D3FEB"/>
    <w:rsid w:val="69BB5A2C"/>
    <w:rsid w:val="69DD7EEA"/>
    <w:rsid w:val="6A0C5356"/>
    <w:rsid w:val="6B5C4B98"/>
    <w:rsid w:val="6B5D2C91"/>
    <w:rsid w:val="6B5F8F28"/>
    <w:rsid w:val="6B625A68"/>
    <w:rsid w:val="6C2573F8"/>
    <w:rsid w:val="6C6A4C67"/>
    <w:rsid w:val="6D56105E"/>
    <w:rsid w:val="6E094B0F"/>
    <w:rsid w:val="6E0D061D"/>
    <w:rsid w:val="6F8F6808"/>
    <w:rsid w:val="6FBFC4F6"/>
    <w:rsid w:val="6FCFD452"/>
    <w:rsid w:val="6FFFF68A"/>
    <w:rsid w:val="706E396F"/>
    <w:rsid w:val="70BE4B1F"/>
    <w:rsid w:val="71FFEE3A"/>
    <w:rsid w:val="72C84B16"/>
    <w:rsid w:val="736E1BF5"/>
    <w:rsid w:val="741E2630"/>
    <w:rsid w:val="74813D6C"/>
    <w:rsid w:val="75254AEA"/>
    <w:rsid w:val="768FB218"/>
    <w:rsid w:val="769876C4"/>
    <w:rsid w:val="76A15221"/>
    <w:rsid w:val="77993957"/>
    <w:rsid w:val="779FEB8E"/>
    <w:rsid w:val="77FEE1A9"/>
    <w:rsid w:val="784F31B8"/>
    <w:rsid w:val="7919435A"/>
    <w:rsid w:val="7C0947B1"/>
    <w:rsid w:val="7D032331"/>
    <w:rsid w:val="7D1568ED"/>
    <w:rsid w:val="7D6701E6"/>
    <w:rsid w:val="7D9B1FC1"/>
    <w:rsid w:val="7DBBDE90"/>
    <w:rsid w:val="7F77241E"/>
    <w:rsid w:val="7F7F48C5"/>
    <w:rsid w:val="7F9E1216"/>
    <w:rsid w:val="7FFECCF7"/>
    <w:rsid w:val="8AEFD1F3"/>
    <w:rsid w:val="9CFF543C"/>
    <w:rsid w:val="9FF7EEC1"/>
    <w:rsid w:val="ADFB7369"/>
    <w:rsid w:val="AFFD3446"/>
    <w:rsid w:val="BB1518B5"/>
    <w:rsid w:val="BBED7EB2"/>
    <w:rsid w:val="BE2F9D1E"/>
    <w:rsid w:val="BFEF36C6"/>
    <w:rsid w:val="CEC38C20"/>
    <w:rsid w:val="D62914C4"/>
    <w:rsid w:val="D7F7859F"/>
    <w:rsid w:val="D9CBD4C3"/>
    <w:rsid w:val="DD4F3AC9"/>
    <w:rsid w:val="DEFB9976"/>
    <w:rsid w:val="DFAD004E"/>
    <w:rsid w:val="DFFF11B3"/>
    <w:rsid w:val="E37CB77E"/>
    <w:rsid w:val="E7CFB931"/>
    <w:rsid w:val="E7F33C5E"/>
    <w:rsid w:val="F7AF98C9"/>
    <w:rsid w:val="FAC75F39"/>
    <w:rsid w:val="FAF7321F"/>
    <w:rsid w:val="FBA793D9"/>
    <w:rsid w:val="FBAB9A2B"/>
    <w:rsid w:val="FBCF933F"/>
    <w:rsid w:val="FBFB8F60"/>
    <w:rsid w:val="FBFCDEB4"/>
    <w:rsid w:val="FEFEF71F"/>
    <w:rsid w:val="FEFF91BD"/>
    <w:rsid w:val="FFBFB2AB"/>
    <w:rsid w:val="FFD73B41"/>
    <w:rsid w:val="FFFDC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2019-10-02T00:56:00Z</dcterms:created>
  <dc:creator>林振顺</dc:creator>
  <cp:lastModifiedBy>林莉梅</cp:lastModifiedBy>
  <cp:lastPrinted>2019-10-20T07:21:00Z</cp:lastPrinted>
  <dcterms:modified xsi:type="dcterms:W3CDTF">2023-02-06T14:31:28Z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57B632161EC34E708050D70C5AD59713</vt:lpwstr>
  </property>
</Properties>
</file>