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kern w:val="0"/>
          <w:sz w:val="44"/>
          <w:szCs w:val="44"/>
          <w:shd w:val="clear" w:color="auto" w:fill="FFFFFF"/>
          <w:lang w:val="en-US" w:eastAsia="zh-CN" w:bidi="ar"/>
        </w:rPr>
      </w:pPr>
      <w:r>
        <w:rPr>
          <w:rFonts w:hint="eastAsia" w:ascii="仿宋" w:hAnsi="仿宋" w:eastAsia="仿宋" w:cs="仿宋"/>
          <w:b/>
          <w:bCs/>
          <w:color w:val="000000"/>
          <w:kern w:val="0"/>
          <w:sz w:val="44"/>
          <w:szCs w:val="44"/>
          <w:shd w:val="clear" w:color="auto" w:fill="FFFFFF"/>
          <w:lang w:val="en-US" w:eastAsia="zh-CN" w:bidi="ar"/>
        </w:rPr>
        <w:t>福建省药品监督管理局厦门药品稽查办公室</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sz w:val="44"/>
          <w:szCs w:val="44"/>
        </w:rPr>
      </w:pPr>
      <w:r>
        <w:rPr>
          <w:rFonts w:hint="eastAsia" w:ascii="仿宋" w:hAnsi="仿宋" w:eastAsia="仿宋" w:cs="仿宋"/>
          <w:b/>
          <w:bCs/>
          <w:color w:val="000000"/>
          <w:kern w:val="0"/>
          <w:sz w:val="44"/>
          <w:szCs w:val="44"/>
          <w:shd w:val="clear" w:color="auto" w:fill="FFFFFF"/>
          <w:lang w:bidi="ar"/>
        </w:rPr>
        <w:t>行政处罚信息公开表</w:t>
      </w:r>
    </w:p>
    <w:tbl>
      <w:tblPr>
        <w:tblStyle w:val="3"/>
        <w:tblW w:w="14640" w:type="dxa"/>
        <w:tblInd w:w="0" w:type="dxa"/>
        <w:tblLayout w:type="fixed"/>
        <w:tblCellMar>
          <w:top w:w="0" w:type="dxa"/>
          <w:left w:w="0" w:type="dxa"/>
          <w:bottom w:w="0" w:type="dxa"/>
          <w:right w:w="0" w:type="dxa"/>
        </w:tblCellMar>
      </w:tblPr>
      <w:tblGrid>
        <w:gridCol w:w="291"/>
        <w:gridCol w:w="892"/>
        <w:gridCol w:w="618"/>
        <w:gridCol w:w="856"/>
        <w:gridCol w:w="1992"/>
        <w:gridCol w:w="553"/>
        <w:gridCol w:w="3198"/>
        <w:gridCol w:w="2554"/>
        <w:gridCol w:w="2057"/>
        <w:gridCol w:w="725"/>
        <w:gridCol w:w="904"/>
      </w:tblGrid>
      <w:tr>
        <w:tblPrEx>
          <w:tblCellMar>
            <w:top w:w="0" w:type="dxa"/>
            <w:left w:w="0" w:type="dxa"/>
            <w:bottom w:w="0" w:type="dxa"/>
            <w:right w:w="0" w:type="dxa"/>
          </w:tblCellMar>
        </w:tblPrEx>
        <w:trPr>
          <w:trHeight w:val="1500" w:hRule="atLeast"/>
        </w:trPr>
        <w:tc>
          <w:tcPr>
            <w:tcW w:w="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序号</w:t>
            </w: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行政处罚决定书文号</w:t>
            </w: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案件名称</w:t>
            </w:r>
          </w:p>
        </w:tc>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违法企业名称或违法自然人姓名</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违法企业社会信用代码</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法定代表人姓名</w:t>
            </w:r>
          </w:p>
        </w:tc>
        <w:tc>
          <w:tcPr>
            <w:tcW w:w="31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主要违法事实</w:t>
            </w:r>
          </w:p>
        </w:tc>
        <w:tc>
          <w:tcPr>
            <w:tcW w:w="25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行政处罚的种类和依据</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行政处罚的履行方式和期限</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做出处罚的机关名称和日期</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备注</w:t>
            </w:r>
          </w:p>
        </w:tc>
      </w:tr>
      <w:tr>
        <w:tblPrEx>
          <w:tblCellMar>
            <w:top w:w="0" w:type="dxa"/>
            <w:left w:w="0" w:type="dxa"/>
            <w:bottom w:w="0" w:type="dxa"/>
            <w:right w:w="0" w:type="dxa"/>
          </w:tblCellMar>
        </w:tblPrEx>
        <w:trPr>
          <w:trHeight w:val="1741" w:hRule="atLeast"/>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闽药监厦稽办〔2022〕</w:t>
            </w:r>
            <w:r>
              <w:rPr>
                <w:rFonts w:hint="eastAsia" w:ascii="宋体" w:hAnsi="宋体" w:eastAsia="宋体" w:cs="宋体"/>
                <w:color w:val="000000"/>
                <w:sz w:val="22"/>
                <w:szCs w:val="22"/>
                <w:lang w:val="en-US" w:eastAsia="zh-CN"/>
              </w:rPr>
              <w:t>2</w:t>
            </w:r>
            <w:r>
              <w:rPr>
                <w:rFonts w:hint="eastAsia" w:ascii="宋体" w:hAnsi="宋体" w:eastAsia="宋体" w:cs="宋体"/>
                <w:color w:val="000000"/>
                <w:sz w:val="22"/>
                <w:szCs w:val="22"/>
              </w:rPr>
              <w:t>-</w:t>
            </w:r>
            <w:r>
              <w:rPr>
                <w:rFonts w:hint="eastAsia" w:ascii="宋体" w:hAnsi="宋体" w:eastAsia="宋体" w:cs="宋体"/>
                <w:color w:val="000000"/>
                <w:sz w:val="22"/>
                <w:szCs w:val="22"/>
                <w:lang w:val="en-US" w:eastAsia="zh-CN"/>
              </w:rPr>
              <w:t>005</w:t>
            </w:r>
            <w:r>
              <w:rPr>
                <w:rFonts w:hint="eastAsia" w:ascii="宋体" w:hAnsi="宋体" w:eastAsia="宋体" w:cs="宋体"/>
                <w:color w:val="000000"/>
                <w:sz w:val="22"/>
                <w:szCs w:val="22"/>
              </w:rPr>
              <w:t>号</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销售劣药和未遵守药品经营质量管理规范案</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福建泉州老百姓医药有限公司</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lef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91350525MA2YLGYY4E</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苏秀春</w:t>
            </w:r>
          </w:p>
        </w:tc>
        <w:tc>
          <w:tcPr>
            <w:tcW w:w="3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40" w:firstLineChars="200"/>
              <w:jc w:val="left"/>
              <w:textAlignment w:val="center"/>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rPr>
              <w:t>当事人</w:t>
            </w:r>
            <w:r>
              <w:rPr>
                <w:rFonts w:hint="eastAsia" w:ascii="宋体" w:hAnsi="宋体" w:eastAsia="宋体" w:cs="宋体"/>
                <w:color w:val="000000"/>
                <w:sz w:val="22"/>
                <w:szCs w:val="22"/>
                <w:lang w:val="en-US" w:eastAsia="zh-CN"/>
              </w:rPr>
              <w:t>销售</w:t>
            </w:r>
            <w:r>
              <w:rPr>
                <w:rFonts w:hint="eastAsia" w:ascii="宋体" w:hAnsi="宋体" w:eastAsia="宋体" w:cs="宋体"/>
                <w:color w:val="000000"/>
                <w:sz w:val="22"/>
                <w:szCs w:val="22"/>
              </w:rPr>
              <w:t>经检验“水分”项目不符合药品标准的茯苓</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lang w:val="en-US" w:eastAsia="zh-CN"/>
              </w:rPr>
              <w:t>生产企业：安徽臻善阁中药饮片有限公司，产地：安徽安庆，批号：210801</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lang w:val="en-US" w:eastAsia="zh-CN"/>
              </w:rPr>
              <w:t>当事人共销售该批次产品150kg，销售金额12021元。当事人发现已售出药品有质量问题时，未立即通知购货单位停售、追回，违反药品经营质量管理规范第一百一十七条的规定。当事人经营涉案批次药品期间，药品的储存与养护违反药品经营质量管理规范第二十二条第一款第三项、第五十三条和第八十四条的规定；当事人从事药品经营活动违反药品经营质量管理规范第八条、第十四条、第十五条、第十七条第五项及第六项、第二十二条第一款第三项、第二十七条、第四十七条第三项及第四项、第五十三条、第五十五条、第五十九条、第六十条、第八十三条、第八十四条和第一百一十九条的规定。</w:t>
            </w:r>
            <w:bookmarkStart w:id="0" w:name="_GoBack"/>
            <w:bookmarkEnd w:id="0"/>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40" w:firstLineChars="200"/>
              <w:jc w:val="left"/>
              <w:textAlignment w:val="center"/>
              <w:outlineLvl w:val="9"/>
              <w:rPr>
                <w:rFonts w:ascii="宋体" w:hAnsi="宋体" w:eastAsia="宋体" w:cs="宋体"/>
                <w:color w:val="000000"/>
                <w:sz w:val="22"/>
                <w:szCs w:val="22"/>
              </w:rPr>
            </w:pPr>
            <w:r>
              <w:rPr>
                <w:rFonts w:hint="eastAsia" w:ascii="宋体" w:hAnsi="宋体" w:eastAsia="宋体" w:cs="宋体"/>
                <w:color w:val="000000"/>
                <w:sz w:val="22"/>
                <w:szCs w:val="22"/>
                <w:lang w:val="en-US" w:eastAsia="zh-CN"/>
              </w:rPr>
              <w:t>当事人的上述</w:t>
            </w:r>
            <w:r>
              <w:rPr>
                <w:rFonts w:hint="eastAsia" w:ascii="宋体" w:hAnsi="宋体" w:eastAsia="宋体" w:cs="宋体"/>
                <w:color w:val="000000"/>
                <w:sz w:val="22"/>
                <w:szCs w:val="22"/>
              </w:rPr>
              <w:t>行为违反</w:t>
            </w:r>
            <w:r>
              <w:rPr>
                <w:rFonts w:hint="eastAsia" w:ascii="宋体" w:hAnsi="宋体" w:eastAsia="宋体" w:cs="宋体"/>
                <w:color w:val="000000"/>
                <w:sz w:val="22"/>
                <w:szCs w:val="22"/>
                <w:lang w:val="en-US" w:eastAsia="zh-CN"/>
              </w:rPr>
              <w:t>了</w:t>
            </w:r>
            <w:r>
              <w:rPr>
                <w:rFonts w:hint="eastAsia" w:ascii="宋体" w:hAnsi="宋体" w:eastAsia="宋体" w:cs="宋体"/>
                <w:color w:val="000000"/>
                <w:sz w:val="22"/>
                <w:szCs w:val="22"/>
              </w:rPr>
              <w:t>《中华人民共和国药品管理法》第五十三条</w:t>
            </w:r>
            <w:r>
              <w:rPr>
                <w:rFonts w:hint="eastAsia" w:ascii="宋体" w:hAnsi="宋体" w:eastAsia="宋体" w:cs="宋体"/>
                <w:color w:val="000000"/>
                <w:sz w:val="22"/>
                <w:szCs w:val="22"/>
                <w:lang w:val="en-US" w:eastAsia="zh-CN"/>
              </w:rPr>
              <w:t>和</w:t>
            </w:r>
            <w:r>
              <w:rPr>
                <w:rFonts w:hint="eastAsia" w:ascii="宋体" w:hAnsi="宋体" w:eastAsia="宋体" w:cs="宋体"/>
                <w:color w:val="000000"/>
                <w:sz w:val="22"/>
                <w:szCs w:val="22"/>
              </w:rPr>
              <w:t>第九十八条第一款的规定，构成销售劣药和未遵守药品经营质量管理规范的违法行为。</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ind w:firstLine="440" w:firstLineChars="200"/>
              <w:jc w:val="lef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依据《中华人民共和国药品管理法》第一百一十七条第二款和第一百二十六条、《福建省药品监管行政处罚裁量权适用实施细则（试行）》第八条第二款的规定, 现责令当事人</w:t>
            </w:r>
            <w:r>
              <w:rPr>
                <w:rFonts w:hint="eastAsia" w:ascii="宋体" w:hAnsi="宋体" w:eastAsia="宋体" w:cs="宋体"/>
                <w:color w:val="000000"/>
                <w:sz w:val="22"/>
                <w:szCs w:val="22"/>
                <w:lang w:val="en-US" w:eastAsia="zh-CN"/>
              </w:rPr>
              <w:t>限期二十个工作日</w:t>
            </w:r>
            <w:r>
              <w:rPr>
                <w:rFonts w:hint="eastAsia" w:ascii="宋体" w:hAnsi="宋体" w:eastAsia="宋体" w:cs="宋体"/>
                <w:color w:val="000000"/>
                <w:sz w:val="22"/>
                <w:szCs w:val="22"/>
              </w:rPr>
              <w:t>改正上述违法行为，并决定处罚如下：</w:t>
            </w:r>
          </w:p>
          <w:p>
            <w:pPr>
              <w:widowControl/>
              <w:spacing w:line="330" w:lineRule="atLeast"/>
              <w:ind w:firstLine="440" w:firstLineChars="200"/>
              <w:jc w:val="lef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1.警告；</w:t>
            </w:r>
          </w:p>
          <w:p>
            <w:pPr>
              <w:widowControl/>
              <w:spacing w:line="330" w:lineRule="atLeast"/>
              <w:ind w:firstLine="440" w:firstLineChars="200"/>
              <w:jc w:val="lef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2.没收当事人违法所得12021元；</w:t>
            </w:r>
          </w:p>
          <w:p>
            <w:pPr>
              <w:widowControl/>
              <w:spacing w:line="330" w:lineRule="atLeast"/>
              <w:ind w:firstLine="440" w:firstLineChars="200"/>
              <w:jc w:val="lef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3.罚款100000元。</w:t>
            </w:r>
          </w:p>
          <w:p>
            <w:pPr>
              <w:widowControl/>
              <w:spacing w:line="330" w:lineRule="atLeast"/>
              <w:ind w:firstLine="440" w:firstLineChars="200"/>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以上罚没款合计112021元（壹拾壹万贰仟零贰拾壹元整）。</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left"/>
              <w:textAlignment w:val="auto"/>
              <w:outlineLvl w:val="9"/>
              <w:rPr>
                <w:rFonts w:ascii="宋体" w:hAnsi="宋体" w:eastAsia="宋体" w:cs="宋体"/>
                <w:color w:val="000000"/>
                <w:sz w:val="22"/>
                <w:szCs w:val="22"/>
              </w:rPr>
            </w:pPr>
            <w:r>
              <w:rPr>
                <w:rFonts w:hint="eastAsia" w:ascii="宋体" w:hAnsi="宋体" w:eastAsia="宋体" w:cs="宋体"/>
                <w:color w:val="000000"/>
                <w:sz w:val="22"/>
                <w:szCs w:val="22"/>
              </w:rPr>
              <w:t>当事人应自接到本行政处罚决定之日起15日内缴纳上述罚没款。当事人根据厦门药品稽查办公室开具的行政处罚缴款通知书，自行选择缴款方式。逾期不缴纳罚款的，依据《中华人民共和国行政处罚法》第五十一条的规定，我办将每日按罚款数额的百分之三加处罚款，并依法申请人民法院强制执行。</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福建省药品监督管理局</w:t>
            </w:r>
            <w:r>
              <w:rPr>
                <w:rFonts w:hint="eastAsia" w:ascii="宋体" w:hAnsi="宋体" w:eastAsia="宋体" w:cs="宋体"/>
                <w:color w:val="000000"/>
                <w:kern w:val="0"/>
                <w:sz w:val="22"/>
                <w:szCs w:val="22"/>
                <w:lang w:eastAsia="zh-CN" w:bidi="ar"/>
              </w:rPr>
              <w:t>厦门药品稽查办公室</w:t>
            </w:r>
            <w:r>
              <w:rPr>
                <w:rFonts w:hint="eastAsia" w:ascii="宋体" w:hAnsi="宋体" w:eastAsia="宋体" w:cs="宋体"/>
                <w:color w:val="000000"/>
                <w:kern w:val="0"/>
                <w:sz w:val="22"/>
                <w:szCs w:val="22"/>
                <w:lang w:bidi="ar"/>
              </w:rPr>
              <w:t>，20</w:t>
            </w:r>
            <w:r>
              <w:rPr>
                <w:rFonts w:hint="eastAsia" w:ascii="宋体" w:hAnsi="宋体" w:eastAsia="宋体" w:cs="宋体"/>
                <w:color w:val="000000"/>
                <w:kern w:val="0"/>
                <w:sz w:val="22"/>
                <w:szCs w:val="22"/>
                <w:lang w:val="en-US" w:eastAsia="zh-CN" w:bidi="ar"/>
              </w:rPr>
              <w:t>22</w:t>
            </w:r>
            <w:r>
              <w:rPr>
                <w:rFonts w:hint="eastAsia" w:ascii="宋体" w:hAnsi="宋体" w:eastAsia="宋体" w:cs="宋体"/>
                <w:color w:val="000000"/>
                <w:kern w:val="0"/>
                <w:sz w:val="22"/>
                <w:szCs w:val="22"/>
                <w:lang w:bidi="ar"/>
              </w:rPr>
              <w:t>年</w:t>
            </w:r>
            <w:r>
              <w:rPr>
                <w:rFonts w:hint="eastAsia" w:ascii="宋体" w:hAnsi="宋体" w:eastAsia="宋体" w:cs="宋体"/>
                <w:color w:val="000000"/>
                <w:kern w:val="0"/>
                <w:sz w:val="22"/>
                <w:szCs w:val="22"/>
                <w:lang w:val="en-US" w:eastAsia="zh-CN" w:bidi="ar"/>
              </w:rPr>
              <w:t>12</w:t>
            </w:r>
            <w:r>
              <w:rPr>
                <w:rFonts w:hint="eastAsia" w:ascii="宋体" w:hAnsi="宋体" w:eastAsia="宋体" w:cs="宋体"/>
                <w:color w:val="000000"/>
                <w:kern w:val="0"/>
                <w:sz w:val="22"/>
                <w:szCs w:val="22"/>
                <w:lang w:bidi="ar"/>
              </w:rPr>
              <w:t>月</w:t>
            </w:r>
            <w:r>
              <w:rPr>
                <w:rFonts w:hint="eastAsia" w:ascii="宋体" w:hAnsi="宋体" w:eastAsia="宋体" w:cs="宋体"/>
                <w:color w:val="000000"/>
                <w:kern w:val="0"/>
                <w:sz w:val="22"/>
                <w:szCs w:val="22"/>
                <w:lang w:val="en-US" w:eastAsia="zh-CN" w:bidi="ar"/>
              </w:rPr>
              <w:t>13</w:t>
            </w:r>
            <w:r>
              <w:rPr>
                <w:rFonts w:hint="eastAsia" w:ascii="宋体" w:hAnsi="宋体" w:eastAsia="宋体" w:cs="宋体"/>
                <w:color w:val="000000"/>
                <w:kern w:val="0"/>
                <w:sz w:val="22"/>
                <w:szCs w:val="22"/>
                <w:lang w:bidi="ar"/>
              </w:rPr>
              <w:t>日。</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r>
    </w:tbl>
    <w:p/>
    <w:p>
      <w:r>
        <w:rPr>
          <w:rFonts w:hint="eastAsia" w:ascii="宋体" w:hAnsi="宋体" w:eastAsia="宋体" w:cs="宋体"/>
          <w:i w:val="0"/>
          <w:caps w:val="0"/>
          <w:color w:val="000000"/>
          <w:spacing w:val="0"/>
          <w:sz w:val="22"/>
          <w:szCs w:val="22"/>
          <w:shd w:val="clear" w:fill="FFFFFF"/>
        </w:rPr>
        <w:t>相关单位或者个人转载或引用药品监管部门公布的信息时，应当遵守《中华人民共和国药品管理法》等法律法规的要求，对有关药品的宣传报道应当全面、科学、客观、公正，否则将依法承担相应责任。如对信息作进一步解读，应作必要的核实。</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MjY4MDM3YTQ3NzZkYTAxNTc1ZDU4MTU5YTM5MmUifQ=="/>
  </w:docVars>
  <w:rsids>
    <w:rsidRoot w:val="0AFC60A5"/>
    <w:rsid w:val="003F173A"/>
    <w:rsid w:val="009E39C7"/>
    <w:rsid w:val="00D93752"/>
    <w:rsid w:val="00EC6659"/>
    <w:rsid w:val="013621DE"/>
    <w:rsid w:val="015D724D"/>
    <w:rsid w:val="02206F22"/>
    <w:rsid w:val="026145CD"/>
    <w:rsid w:val="02DC41F3"/>
    <w:rsid w:val="039A75B8"/>
    <w:rsid w:val="044322F7"/>
    <w:rsid w:val="04720006"/>
    <w:rsid w:val="04E050C3"/>
    <w:rsid w:val="05E927E7"/>
    <w:rsid w:val="06CE10DF"/>
    <w:rsid w:val="06DD5A87"/>
    <w:rsid w:val="06DF09E6"/>
    <w:rsid w:val="071D143D"/>
    <w:rsid w:val="072C0BCD"/>
    <w:rsid w:val="07917978"/>
    <w:rsid w:val="07934CB0"/>
    <w:rsid w:val="08A451D8"/>
    <w:rsid w:val="091D0EB6"/>
    <w:rsid w:val="0A8263CF"/>
    <w:rsid w:val="0AF353F0"/>
    <w:rsid w:val="0AFC60A5"/>
    <w:rsid w:val="0B32336E"/>
    <w:rsid w:val="0BBD46A7"/>
    <w:rsid w:val="0BD27166"/>
    <w:rsid w:val="0C616F42"/>
    <w:rsid w:val="0C7D1938"/>
    <w:rsid w:val="0CF777D7"/>
    <w:rsid w:val="0D016698"/>
    <w:rsid w:val="0D496004"/>
    <w:rsid w:val="0D9B5DDE"/>
    <w:rsid w:val="0D9D6771"/>
    <w:rsid w:val="0DFB1089"/>
    <w:rsid w:val="0E490328"/>
    <w:rsid w:val="0E5D3919"/>
    <w:rsid w:val="0F312F23"/>
    <w:rsid w:val="0F483127"/>
    <w:rsid w:val="0F636137"/>
    <w:rsid w:val="12CC6E93"/>
    <w:rsid w:val="132F1E02"/>
    <w:rsid w:val="134F7688"/>
    <w:rsid w:val="13C62711"/>
    <w:rsid w:val="156C03C6"/>
    <w:rsid w:val="1575788D"/>
    <w:rsid w:val="15956002"/>
    <w:rsid w:val="16A67ADA"/>
    <w:rsid w:val="175002B3"/>
    <w:rsid w:val="17780848"/>
    <w:rsid w:val="17ED0162"/>
    <w:rsid w:val="18042591"/>
    <w:rsid w:val="18BE0642"/>
    <w:rsid w:val="1AEA7179"/>
    <w:rsid w:val="1AFE5EAD"/>
    <w:rsid w:val="1C3D1C7A"/>
    <w:rsid w:val="1C5025C3"/>
    <w:rsid w:val="1C925246"/>
    <w:rsid w:val="1CAE2EE5"/>
    <w:rsid w:val="1CC47C11"/>
    <w:rsid w:val="1D3B5DDE"/>
    <w:rsid w:val="1D753C38"/>
    <w:rsid w:val="1DAF4892"/>
    <w:rsid w:val="1DC70616"/>
    <w:rsid w:val="1DC96DD1"/>
    <w:rsid w:val="1E487342"/>
    <w:rsid w:val="1E604266"/>
    <w:rsid w:val="1E6C4095"/>
    <w:rsid w:val="1E8E1796"/>
    <w:rsid w:val="1EE4637F"/>
    <w:rsid w:val="200D099C"/>
    <w:rsid w:val="2072136A"/>
    <w:rsid w:val="20B00327"/>
    <w:rsid w:val="20D42391"/>
    <w:rsid w:val="20EE49CE"/>
    <w:rsid w:val="20F25647"/>
    <w:rsid w:val="226D11F5"/>
    <w:rsid w:val="22A83813"/>
    <w:rsid w:val="22F41E44"/>
    <w:rsid w:val="23215CC3"/>
    <w:rsid w:val="23257EF1"/>
    <w:rsid w:val="23484CF1"/>
    <w:rsid w:val="23D423B4"/>
    <w:rsid w:val="2569115D"/>
    <w:rsid w:val="26AA4921"/>
    <w:rsid w:val="26B71264"/>
    <w:rsid w:val="26DF29AC"/>
    <w:rsid w:val="27A11DC7"/>
    <w:rsid w:val="27B3517A"/>
    <w:rsid w:val="28516479"/>
    <w:rsid w:val="28F3492D"/>
    <w:rsid w:val="2A1721F2"/>
    <w:rsid w:val="2AAA4F58"/>
    <w:rsid w:val="2C9337B1"/>
    <w:rsid w:val="2CA16103"/>
    <w:rsid w:val="2CAB63EF"/>
    <w:rsid w:val="2D7123B7"/>
    <w:rsid w:val="2D9E7301"/>
    <w:rsid w:val="2DE649A3"/>
    <w:rsid w:val="2E5B16E1"/>
    <w:rsid w:val="2ECF18AA"/>
    <w:rsid w:val="2EEB283A"/>
    <w:rsid w:val="2F383184"/>
    <w:rsid w:val="2F57175D"/>
    <w:rsid w:val="2F8548F3"/>
    <w:rsid w:val="30351958"/>
    <w:rsid w:val="30CF358A"/>
    <w:rsid w:val="30F02C2A"/>
    <w:rsid w:val="316A4F8D"/>
    <w:rsid w:val="32291B02"/>
    <w:rsid w:val="327970BC"/>
    <w:rsid w:val="329F0C04"/>
    <w:rsid w:val="32EF5248"/>
    <w:rsid w:val="33A12315"/>
    <w:rsid w:val="347C71D5"/>
    <w:rsid w:val="34975B1E"/>
    <w:rsid w:val="34A75DA4"/>
    <w:rsid w:val="34CC59A7"/>
    <w:rsid w:val="35283A77"/>
    <w:rsid w:val="35732EAB"/>
    <w:rsid w:val="35A4152E"/>
    <w:rsid w:val="35E525D1"/>
    <w:rsid w:val="3608161B"/>
    <w:rsid w:val="3689596D"/>
    <w:rsid w:val="3755151D"/>
    <w:rsid w:val="379047E2"/>
    <w:rsid w:val="38827880"/>
    <w:rsid w:val="388E5FDA"/>
    <w:rsid w:val="39715F2D"/>
    <w:rsid w:val="39F74572"/>
    <w:rsid w:val="3A8E2E37"/>
    <w:rsid w:val="3B5F47C3"/>
    <w:rsid w:val="3D0D111B"/>
    <w:rsid w:val="3DDC2EDA"/>
    <w:rsid w:val="3E39262D"/>
    <w:rsid w:val="3E4A5F63"/>
    <w:rsid w:val="3E63711E"/>
    <w:rsid w:val="3F4B3DBC"/>
    <w:rsid w:val="3FA63E62"/>
    <w:rsid w:val="400613B4"/>
    <w:rsid w:val="404323A5"/>
    <w:rsid w:val="408D71D7"/>
    <w:rsid w:val="40F9550B"/>
    <w:rsid w:val="41452E4C"/>
    <w:rsid w:val="426C1B97"/>
    <w:rsid w:val="42743BCB"/>
    <w:rsid w:val="429373A2"/>
    <w:rsid w:val="4344143E"/>
    <w:rsid w:val="43854217"/>
    <w:rsid w:val="438C3243"/>
    <w:rsid w:val="44F32001"/>
    <w:rsid w:val="45253CF6"/>
    <w:rsid w:val="45646B1F"/>
    <w:rsid w:val="457E7C8F"/>
    <w:rsid w:val="45CC173C"/>
    <w:rsid w:val="46AE1F18"/>
    <w:rsid w:val="46C71020"/>
    <w:rsid w:val="47177CA0"/>
    <w:rsid w:val="474F196C"/>
    <w:rsid w:val="481B363B"/>
    <w:rsid w:val="496D4EDD"/>
    <w:rsid w:val="49DD1DC9"/>
    <w:rsid w:val="4ABC573E"/>
    <w:rsid w:val="4B227261"/>
    <w:rsid w:val="4B6E6C91"/>
    <w:rsid w:val="4BD87CAD"/>
    <w:rsid w:val="4CB227C6"/>
    <w:rsid w:val="4D494A31"/>
    <w:rsid w:val="4D4E6522"/>
    <w:rsid w:val="4DB52204"/>
    <w:rsid w:val="4DBF5525"/>
    <w:rsid w:val="4E4D4D9C"/>
    <w:rsid w:val="4EBF4B5E"/>
    <w:rsid w:val="4F6760DC"/>
    <w:rsid w:val="511C6458"/>
    <w:rsid w:val="51295856"/>
    <w:rsid w:val="521F1AAF"/>
    <w:rsid w:val="52650555"/>
    <w:rsid w:val="529B204D"/>
    <w:rsid w:val="52C16F51"/>
    <w:rsid w:val="53572647"/>
    <w:rsid w:val="537E31B3"/>
    <w:rsid w:val="53CE2445"/>
    <w:rsid w:val="55455002"/>
    <w:rsid w:val="55DB0C7B"/>
    <w:rsid w:val="570D79CA"/>
    <w:rsid w:val="57121CF7"/>
    <w:rsid w:val="58CB7D44"/>
    <w:rsid w:val="58F30A28"/>
    <w:rsid w:val="58FB0EC8"/>
    <w:rsid w:val="5B420A05"/>
    <w:rsid w:val="5B9A5FEA"/>
    <w:rsid w:val="5BBA29DD"/>
    <w:rsid w:val="5C1044D8"/>
    <w:rsid w:val="5CD52BD8"/>
    <w:rsid w:val="5CDC01B4"/>
    <w:rsid w:val="5D350E4B"/>
    <w:rsid w:val="5EA51DF7"/>
    <w:rsid w:val="5EEC238A"/>
    <w:rsid w:val="5F277E5F"/>
    <w:rsid w:val="600B75EF"/>
    <w:rsid w:val="613B606A"/>
    <w:rsid w:val="62C31765"/>
    <w:rsid w:val="62E71FB6"/>
    <w:rsid w:val="635C6039"/>
    <w:rsid w:val="640A5255"/>
    <w:rsid w:val="640A5983"/>
    <w:rsid w:val="64145F3B"/>
    <w:rsid w:val="647F73C1"/>
    <w:rsid w:val="64DF3162"/>
    <w:rsid w:val="651779D1"/>
    <w:rsid w:val="6544535C"/>
    <w:rsid w:val="65637F91"/>
    <w:rsid w:val="65687003"/>
    <w:rsid w:val="6585448E"/>
    <w:rsid w:val="65BD6C42"/>
    <w:rsid w:val="668415F3"/>
    <w:rsid w:val="66F45538"/>
    <w:rsid w:val="672D2D56"/>
    <w:rsid w:val="677522DA"/>
    <w:rsid w:val="6A1A7C2A"/>
    <w:rsid w:val="6A9923F2"/>
    <w:rsid w:val="6A9954DA"/>
    <w:rsid w:val="6AC631DB"/>
    <w:rsid w:val="6CB41594"/>
    <w:rsid w:val="6CB92447"/>
    <w:rsid w:val="6D356589"/>
    <w:rsid w:val="6DA32868"/>
    <w:rsid w:val="6DD25D21"/>
    <w:rsid w:val="6ECF425C"/>
    <w:rsid w:val="6ED574D6"/>
    <w:rsid w:val="6F9E5A29"/>
    <w:rsid w:val="6FA521EE"/>
    <w:rsid w:val="70205220"/>
    <w:rsid w:val="708E50BE"/>
    <w:rsid w:val="70E44B48"/>
    <w:rsid w:val="719268CD"/>
    <w:rsid w:val="726D1782"/>
    <w:rsid w:val="72BE667F"/>
    <w:rsid w:val="73097736"/>
    <w:rsid w:val="74443F76"/>
    <w:rsid w:val="74C675FD"/>
    <w:rsid w:val="763450D7"/>
    <w:rsid w:val="77E33F1F"/>
    <w:rsid w:val="78844998"/>
    <w:rsid w:val="78CF6F68"/>
    <w:rsid w:val="79462DC4"/>
    <w:rsid w:val="79904D8C"/>
    <w:rsid w:val="7AC34CDF"/>
    <w:rsid w:val="7AE509B7"/>
    <w:rsid w:val="7BA83DBE"/>
    <w:rsid w:val="7BF666EA"/>
    <w:rsid w:val="7E227595"/>
    <w:rsid w:val="7E5425C2"/>
    <w:rsid w:val="7E805359"/>
    <w:rsid w:val="7EA16C77"/>
    <w:rsid w:val="7FE03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ind w:left="220"/>
    </w:pPr>
    <w:rPr>
      <w:rFonts w:ascii="宋体" w:hAnsi="宋体"/>
      <w:sz w:val="32"/>
      <w:szCs w:val="32"/>
    </w:rPr>
  </w:style>
  <w:style w:type="table" w:styleId="4">
    <w:name w:val="Table Grid"/>
    <w:basedOn w:val="3"/>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950</Words>
  <Characters>1010</Characters>
  <Lines>1</Lines>
  <Paragraphs>1</Paragraphs>
  <TotalTime>9</TotalTime>
  <ScaleCrop>false</ScaleCrop>
  <LinksUpToDate>false</LinksUpToDate>
  <CharactersWithSpaces>1012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2019-11-04T06:53:00Z</dcterms:created>
  <dc:creator>林振顺</dc:creator>
  <cp:lastModifiedBy>郭嘉斌</cp:lastModifiedBy>
  <cp:lastPrinted>2022-12-19T06:35:00Z</cp:lastPrinted>
  <dcterms:modified xsi:type="dcterms:W3CDTF">2022-12-19T08:01:44Z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CCF6BB56584E45809FAD0DD7D2EF1DEA</vt:lpwstr>
  </property>
</Properties>
</file>