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行政处罚信息公开表</w:t>
      </w:r>
    </w:p>
    <w:tbl>
      <w:tblPr>
        <w:tblStyle w:val="5"/>
        <w:tblW w:w="14456" w:type="dxa"/>
        <w:tblInd w:w="0" w:type="dxa"/>
        <w:tblLayout w:type="fixed"/>
        <w:tblCellMar>
          <w:top w:w="0" w:type="dxa"/>
          <w:left w:w="0" w:type="dxa"/>
          <w:bottom w:w="0" w:type="dxa"/>
          <w:right w:w="0" w:type="dxa"/>
        </w:tblCellMar>
      </w:tblPr>
      <w:tblGrid>
        <w:gridCol w:w="287"/>
        <w:gridCol w:w="881"/>
        <w:gridCol w:w="749"/>
        <w:gridCol w:w="1245"/>
        <w:gridCol w:w="1041"/>
        <w:gridCol w:w="765"/>
        <w:gridCol w:w="2401"/>
        <w:gridCol w:w="3030"/>
        <w:gridCol w:w="2449"/>
        <w:gridCol w:w="904"/>
        <w:gridCol w:w="704"/>
      </w:tblGrid>
      <w:tr>
        <w:tblPrEx>
          <w:tblLayout w:type="fixed"/>
          <w:tblCellMar>
            <w:top w:w="0" w:type="dxa"/>
            <w:left w:w="0" w:type="dxa"/>
            <w:bottom w:w="0" w:type="dxa"/>
            <w:right w:w="0" w:type="dxa"/>
          </w:tblCellMar>
        </w:tblPrEx>
        <w:trPr>
          <w:trHeight w:val="90" w:hRule="atLeast"/>
        </w:trPr>
        <w:tc>
          <w:tcPr>
            <w:tcW w:w="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行政处罚决定书文号</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案件名称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违法企业名称或违法自然人姓名</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违法企业社会信用代码</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法定代表人姓名</w:t>
            </w:r>
          </w:p>
        </w:tc>
        <w:tc>
          <w:tcPr>
            <w:tcW w:w="2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主要违法事实</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行政处罚的种类和依据</w:t>
            </w: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行政处罚的履行方式和期限</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做出处罚的机关名称和日期</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blPrEx>
          <w:tblLayout w:type="fixed"/>
          <w:tblCellMar>
            <w:top w:w="0" w:type="dxa"/>
            <w:left w:w="0" w:type="dxa"/>
            <w:bottom w:w="0" w:type="dxa"/>
            <w:right w:w="0" w:type="dxa"/>
          </w:tblCellMar>
        </w:tblPrEx>
        <w:trPr>
          <w:trHeight w:val="980" w:hRule="atLeast"/>
        </w:trPr>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闽药监厦稽办〔2022〕</w:t>
            </w:r>
            <w:r>
              <w:rPr>
                <w:rFonts w:hint="eastAsia" w:ascii="仿宋" w:hAnsi="仿宋" w:eastAsia="仿宋" w:cs="仿宋"/>
                <w:b w:val="0"/>
                <w:bCs w:val="0"/>
                <w:color w:val="auto"/>
                <w:sz w:val="24"/>
                <w:szCs w:val="24"/>
                <w:u w:val="none"/>
                <w:lang w:val="en-US" w:eastAsia="zh-CN"/>
              </w:rPr>
              <w:t>4-003</w:t>
            </w:r>
            <w:r>
              <w:rPr>
                <w:rFonts w:hint="eastAsia" w:ascii="仿宋" w:hAnsi="仿宋" w:eastAsia="仿宋" w:cs="仿宋"/>
                <w:b w:val="0"/>
                <w:bCs w:val="0"/>
                <w:sz w:val="24"/>
                <w:szCs w:val="24"/>
                <w:u w:val="none"/>
                <w:lang w:val="en-US" w:eastAsia="zh-CN"/>
              </w:rPr>
              <w:t>号</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晋江市今日日化有限公司未取得化妆品生产许可证擅自生产化妆品案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晋江市今日日化有限公司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91350582749095849M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center"/>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吴荣标</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480" w:firstLineChars="20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晋江市今日日化有限公司未取得《化妆品生产许可证》，擅自生产化妆品Encaier 宝宝无患子润肤霜（批号：2020.08.05A）192盒，销售单价为6.5元，违法所得1248元，违反了《化妆品卫生监督条例》（1989年9月26日经国务院批准，由卫生部于1989年11月13日发布，自1990年1月1日起施行）第五条第三款规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根据《中华人民共和国行政处罚法》第二十八条第一款的规定，责令当事人改正上述违法行为。根据《化妆品卫生监督条例》第二十四条的规定，决定对当事人处理如下：</w:t>
            </w:r>
          </w:p>
          <w:p>
            <w:pPr>
              <w:wordWrap/>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1、责令停止生产化妆品。</w:t>
            </w:r>
          </w:p>
          <w:p>
            <w:pPr>
              <w:wordWrap/>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2、没收违法所得1248元，并处违法所得5倍罚款6240元，上述罚没款合计共7488元。</w:t>
            </w:r>
          </w:p>
          <w:p>
            <w:pPr>
              <w:wordWrap/>
              <w:spacing w:line="240" w:lineRule="auto"/>
              <w:ind w:firstLine="480" w:firstLineChars="200"/>
              <w:jc w:val="both"/>
              <w:rPr>
                <w:rFonts w:hint="eastAsia" w:ascii="仿宋" w:hAnsi="仿宋" w:eastAsia="仿宋" w:cs="仿宋"/>
                <w:sz w:val="24"/>
                <w:szCs w:val="24"/>
                <w:lang w:val="en-US" w:eastAsia="zh-CN"/>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当事人应自接到本行政处罚决定之日起15日内缴纳上述罚没款。当事人根据</w:t>
            </w:r>
            <w:r>
              <w:rPr>
                <w:rFonts w:hint="eastAsia" w:ascii="仿宋" w:hAnsi="仿宋" w:eastAsia="仿宋" w:cs="仿宋"/>
                <w:bCs/>
                <w:kern w:val="0"/>
                <w:sz w:val="24"/>
                <w:szCs w:val="24"/>
                <w:lang w:eastAsia="zh-CN" w:bidi="ar"/>
              </w:rPr>
              <w:t>本局</w:t>
            </w:r>
            <w:r>
              <w:rPr>
                <w:rFonts w:hint="eastAsia" w:ascii="仿宋" w:hAnsi="仿宋" w:eastAsia="仿宋" w:cs="仿宋"/>
                <w:bCs/>
                <w:kern w:val="0"/>
                <w:sz w:val="24"/>
                <w:szCs w:val="24"/>
                <w:lang w:bidi="ar"/>
              </w:rPr>
              <w:t>开具的行政处罚缴款通知书，自行选择缴款方式。逾期不缴纳罚款的，依据《中华人民共和国行政处罚法》第</w:t>
            </w:r>
            <w:r>
              <w:rPr>
                <w:rFonts w:hint="eastAsia" w:ascii="仿宋" w:hAnsi="仿宋" w:eastAsia="仿宋" w:cs="仿宋"/>
                <w:bCs/>
                <w:kern w:val="0"/>
                <w:sz w:val="24"/>
                <w:szCs w:val="24"/>
                <w:lang w:eastAsia="zh-CN" w:bidi="ar"/>
              </w:rPr>
              <w:t>七十二</w:t>
            </w:r>
            <w:r>
              <w:rPr>
                <w:rFonts w:hint="eastAsia" w:ascii="仿宋" w:hAnsi="仿宋" w:eastAsia="仿宋" w:cs="仿宋"/>
                <w:bCs/>
                <w:kern w:val="0"/>
                <w:sz w:val="24"/>
                <w:szCs w:val="24"/>
                <w:lang w:bidi="ar"/>
              </w:rPr>
              <w:t>条的规定，</w:t>
            </w:r>
            <w:r>
              <w:rPr>
                <w:rFonts w:hint="eastAsia" w:ascii="仿宋" w:hAnsi="仿宋" w:eastAsia="仿宋" w:cs="仿宋"/>
                <w:bCs/>
                <w:kern w:val="0"/>
                <w:sz w:val="24"/>
                <w:szCs w:val="24"/>
                <w:lang w:eastAsia="zh-CN" w:bidi="ar"/>
              </w:rPr>
              <w:t>本局</w:t>
            </w:r>
            <w:r>
              <w:rPr>
                <w:rFonts w:hint="eastAsia" w:ascii="仿宋" w:hAnsi="仿宋" w:eastAsia="仿宋" w:cs="仿宋"/>
                <w:bCs/>
                <w:kern w:val="0"/>
                <w:sz w:val="24"/>
                <w:szCs w:val="24"/>
                <w:lang w:bidi="ar"/>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eastAsia="zh-CN" w:bidi="ar"/>
              </w:rPr>
            </w:pPr>
            <w:r>
              <w:rPr>
                <w:rFonts w:hint="eastAsia" w:ascii="仿宋" w:hAnsi="仿宋" w:eastAsia="仿宋" w:cs="仿宋"/>
                <w:bCs/>
                <w:kern w:val="0"/>
                <w:sz w:val="24"/>
                <w:szCs w:val="24"/>
                <w:lang w:eastAsia="zh-CN" w:bidi="ar"/>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福建省药品监督管理局厦门药品稽查办公室，202</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年</w:t>
            </w: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0"/>
                <w:sz w:val="24"/>
                <w:szCs w:val="24"/>
                <w:lang w:bidi="ar"/>
              </w:rPr>
              <w:t>月</w:t>
            </w: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0"/>
                <w:sz w:val="24"/>
                <w:szCs w:val="24"/>
                <w:lang w:bidi="ar"/>
              </w:rPr>
              <w:t>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p>
        </w:tc>
      </w:tr>
      <w:tr>
        <w:tblPrEx>
          <w:tblLayout w:type="fixed"/>
          <w:tblCellMar>
            <w:top w:w="0" w:type="dxa"/>
            <w:left w:w="0" w:type="dxa"/>
            <w:bottom w:w="0" w:type="dxa"/>
            <w:right w:w="0" w:type="dxa"/>
          </w:tblCellMar>
        </w:tblPrEx>
        <w:trPr>
          <w:trHeight w:val="980" w:hRule="atLeast"/>
        </w:trPr>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闽药监厦稽办〔2022〕</w:t>
            </w:r>
            <w:r>
              <w:rPr>
                <w:rFonts w:hint="eastAsia" w:ascii="仿宋" w:hAnsi="仿宋" w:eastAsia="仿宋" w:cs="仿宋"/>
                <w:b w:val="0"/>
                <w:bCs w:val="0"/>
                <w:color w:val="auto"/>
                <w:sz w:val="24"/>
                <w:szCs w:val="24"/>
                <w:u w:val="none"/>
                <w:lang w:val="en-US" w:eastAsia="zh-CN"/>
              </w:rPr>
              <w:t>4-007</w:t>
            </w:r>
            <w:r>
              <w:rPr>
                <w:rFonts w:hint="eastAsia" w:ascii="仿宋" w:hAnsi="仿宋" w:eastAsia="仿宋" w:cs="仿宋"/>
                <w:b w:val="0"/>
                <w:bCs w:val="0"/>
                <w:sz w:val="24"/>
                <w:szCs w:val="24"/>
                <w:u w:val="none"/>
                <w:lang w:val="en-US" w:eastAsia="zh-CN"/>
              </w:rPr>
              <w:t>号</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r>
              <w:rPr>
                <w:rFonts w:hint="eastAsia" w:ascii="仿宋" w:hAnsi="仿宋" w:eastAsia="仿宋" w:cs="仿宋"/>
                <w:bCs/>
                <w:kern w:val="0"/>
                <w:sz w:val="24"/>
                <w:szCs w:val="24"/>
                <w:lang w:val="en-US" w:eastAsia="zh-CN" w:bidi="ar"/>
              </w:rPr>
              <w:t>诗丽雅化妆品（泉州）有限公司生产上市销售未备案普通化妆品案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诗丽雅化妆品（泉州）有限公司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91350500611535223H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center"/>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姚刚</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480" w:firstLineChars="200"/>
              <w:jc w:val="left"/>
              <w:textAlignment w:val="center"/>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val="en-US" w:eastAsia="zh-CN" w:bidi="ar"/>
              </w:rPr>
              <w:t>诗丽雅化妆品（泉州）有限公司生产销售的化妆品伊秀铂金修颜靓丽碧碧霜（批号09A）经检验检出甲氧基肉桂酸乙基己酯，与化妆品备案凭证载明的成分不一致，属于违反《化妆品监督管理条例》第十七条规定的行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中华人民共和国行政处罚法》第二十八条第一款的规定，责令当事人改正上述违法行为。鉴于当事人积极配合调查且对上述批次化妆品实施召回，依据《化妆品监督管理条例》第六十一条第一款第（一）项的规定，决定对当事人处理如下：</w:t>
            </w:r>
          </w:p>
          <w:p>
            <w:pPr>
              <w:wordWrap/>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1、没收召回涉案产品67瓶；</w:t>
            </w:r>
          </w:p>
          <w:p>
            <w:pPr>
              <w:wordWrap/>
              <w:spacing w:line="240" w:lineRule="auto"/>
              <w:ind w:firstLine="480" w:firstLineChars="200"/>
              <w:jc w:val="both"/>
              <w:rPr>
                <w:rFonts w:hint="eastAsia" w:ascii="仿宋" w:hAnsi="仿宋" w:eastAsia="仿宋" w:cs="仿宋"/>
                <w:bCs/>
                <w:sz w:val="24"/>
                <w:szCs w:val="24"/>
                <w:vertAlign w:val="baseline"/>
                <w:lang w:val="en-US" w:eastAsia="zh-CN"/>
              </w:rPr>
            </w:pPr>
            <w:r>
              <w:rPr>
                <w:rFonts w:hint="eastAsia" w:ascii="仿宋" w:hAnsi="仿宋" w:eastAsia="仿宋" w:cs="仿宋"/>
                <w:sz w:val="24"/>
                <w:szCs w:val="24"/>
                <w:lang w:val="en-US" w:eastAsia="zh-CN"/>
              </w:rPr>
              <w:t>2、没收违法所得46794.11元、并处货值3倍罚款141780.96元，罚没款合计共188575.07元。</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当事人应自接到本行政处罚决定之日起15日内缴纳上述罚没款。当事人根据</w:t>
            </w:r>
            <w:r>
              <w:rPr>
                <w:rFonts w:hint="eastAsia" w:ascii="仿宋" w:hAnsi="仿宋" w:eastAsia="仿宋" w:cs="仿宋"/>
                <w:bCs/>
                <w:kern w:val="0"/>
                <w:sz w:val="24"/>
                <w:szCs w:val="24"/>
                <w:lang w:eastAsia="zh-CN" w:bidi="ar"/>
              </w:rPr>
              <w:t>本局</w:t>
            </w:r>
            <w:r>
              <w:rPr>
                <w:rFonts w:hint="eastAsia" w:ascii="仿宋" w:hAnsi="仿宋" w:eastAsia="仿宋" w:cs="仿宋"/>
                <w:bCs/>
                <w:kern w:val="0"/>
                <w:sz w:val="24"/>
                <w:szCs w:val="24"/>
                <w:lang w:bidi="ar"/>
              </w:rPr>
              <w:t>开具的行政处罚缴款通知书，自行选择缴款方式。逾期不缴纳罚款的，依据《中华人民共和国行政处罚法》第</w:t>
            </w:r>
            <w:r>
              <w:rPr>
                <w:rFonts w:hint="eastAsia" w:ascii="仿宋" w:hAnsi="仿宋" w:eastAsia="仿宋" w:cs="仿宋"/>
                <w:bCs/>
                <w:kern w:val="0"/>
                <w:sz w:val="24"/>
                <w:szCs w:val="24"/>
                <w:lang w:eastAsia="zh-CN" w:bidi="ar"/>
              </w:rPr>
              <w:t>七十二</w:t>
            </w:r>
            <w:r>
              <w:rPr>
                <w:rFonts w:hint="eastAsia" w:ascii="仿宋" w:hAnsi="仿宋" w:eastAsia="仿宋" w:cs="仿宋"/>
                <w:bCs/>
                <w:kern w:val="0"/>
                <w:sz w:val="24"/>
                <w:szCs w:val="24"/>
                <w:lang w:bidi="ar"/>
              </w:rPr>
              <w:t>条的规定，</w:t>
            </w:r>
            <w:r>
              <w:rPr>
                <w:rFonts w:hint="eastAsia" w:ascii="仿宋" w:hAnsi="仿宋" w:eastAsia="仿宋" w:cs="仿宋"/>
                <w:bCs/>
                <w:kern w:val="0"/>
                <w:sz w:val="24"/>
                <w:szCs w:val="24"/>
                <w:lang w:eastAsia="zh-CN" w:bidi="ar"/>
              </w:rPr>
              <w:t>本局</w:t>
            </w:r>
            <w:r>
              <w:rPr>
                <w:rFonts w:hint="eastAsia" w:ascii="仿宋" w:hAnsi="仿宋" w:eastAsia="仿宋" w:cs="仿宋"/>
                <w:bCs/>
                <w:kern w:val="0"/>
                <w:sz w:val="24"/>
                <w:szCs w:val="24"/>
                <w:lang w:bidi="ar"/>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eastAsia="zh-CN" w:bidi="ar"/>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w:t>
            </w:r>
            <w:bookmarkStart w:id="0" w:name="_GoBack"/>
            <w:bookmarkEnd w:id="0"/>
            <w:r>
              <w:rPr>
                <w:rFonts w:hint="eastAsia" w:ascii="仿宋" w:hAnsi="仿宋" w:eastAsia="仿宋" w:cs="仿宋"/>
                <w:bCs/>
                <w:kern w:val="0"/>
                <w:sz w:val="24"/>
                <w:szCs w:val="24"/>
                <w:lang w:eastAsia="zh-CN" w:bidi="ar"/>
              </w:rPr>
              <w:t>罚不停止执行。</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福建省药品监督管理局厦门药品稽查办公室，202</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年</w:t>
            </w: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0"/>
                <w:sz w:val="24"/>
                <w:szCs w:val="24"/>
                <w:lang w:bidi="ar"/>
              </w:rPr>
              <w:t>月</w:t>
            </w: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0"/>
                <w:sz w:val="24"/>
                <w:szCs w:val="24"/>
                <w:lang w:bidi="ar"/>
              </w:rPr>
              <w:t>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p>
        </w:tc>
      </w:tr>
    </w:tbl>
    <w:p/>
    <w:p>
      <w:pPr>
        <w:rPr>
          <w:rFonts w:hint="eastAsia" w:eastAsiaTheme="minorEastAsia"/>
          <w:sz w:val="32"/>
          <w:szCs w:val="32"/>
          <w:lang w:val="en-US" w:eastAsia="zh-CN"/>
        </w:rPr>
      </w:pPr>
      <w:r>
        <w:rPr>
          <w:rFonts w:hint="eastAsia"/>
          <w:lang w:val="en-US" w:eastAsia="zh-CN"/>
        </w:rPr>
        <w:t xml:space="preserve">  </w:t>
      </w:r>
      <w:r>
        <w:rPr>
          <w:rFonts w:hint="eastAsia"/>
          <w:sz w:val="24"/>
          <w:szCs w:val="24"/>
          <w:lang w:val="en-US" w:eastAsia="zh-CN"/>
        </w:rPr>
        <w:t xml:space="preserve">  （提示：相关单位或者个人转载或引用药品监管部门公布的信息时，应当遵守《中华人民共和国药品管理法》等法律法规的要求，对有关药品的宣传报道应当全面、科学、客观、公正，否则将依法承当相应责任。如对信息作进一步解读，应作必要的核实。）</w:t>
      </w:r>
    </w:p>
    <w:sectPr>
      <w:pgSz w:w="16838" w:h="11906" w:orient="landscape"/>
      <w:pgMar w:top="146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60A5"/>
    <w:rsid w:val="003F173A"/>
    <w:rsid w:val="009E39C7"/>
    <w:rsid w:val="00D93752"/>
    <w:rsid w:val="00EC6659"/>
    <w:rsid w:val="013621DE"/>
    <w:rsid w:val="015D724D"/>
    <w:rsid w:val="02206F22"/>
    <w:rsid w:val="02410259"/>
    <w:rsid w:val="026145CD"/>
    <w:rsid w:val="02DC41F3"/>
    <w:rsid w:val="03031AAE"/>
    <w:rsid w:val="039A75B8"/>
    <w:rsid w:val="04720006"/>
    <w:rsid w:val="04E050C3"/>
    <w:rsid w:val="05E927E7"/>
    <w:rsid w:val="06CE10DF"/>
    <w:rsid w:val="06DF09E6"/>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312F23"/>
    <w:rsid w:val="0F483127"/>
    <w:rsid w:val="0F636137"/>
    <w:rsid w:val="12CC6E93"/>
    <w:rsid w:val="132F1E02"/>
    <w:rsid w:val="134F7688"/>
    <w:rsid w:val="136A28E4"/>
    <w:rsid w:val="13C62711"/>
    <w:rsid w:val="156C03C6"/>
    <w:rsid w:val="1575788D"/>
    <w:rsid w:val="15956002"/>
    <w:rsid w:val="16A67ADA"/>
    <w:rsid w:val="175002B3"/>
    <w:rsid w:val="17780848"/>
    <w:rsid w:val="17ED0162"/>
    <w:rsid w:val="18042591"/>
    <w:rsid w:val="186144E5"/>
    <w:rsid w:val="1AEA7179"/>
    <w:rsid w:val="1C3D1C7A"/>
    <w:rsid w:val="1CAE2EE5"/>
    <w:rsid w:val="1CC47C11"/>
    <w:rsid w:val="1DAF4892"/>
    <w:rsid w:val="1DC70616"/>
    <w:rsid w:val="1E487342"/>
    <w:rsid w:val="1E6C4095"/>
    <w:rsid w:val="1E8E1796"/>
    <w:rsid w:val="1F60634D"/>
    <w:rsid w:val="2072136A"/>
    <w:rsid w:val="20D42391"/>
    <w:rsid w:val="20F25647"/>
    <w:rsid w:val="227076DC"/>
    <w:rsid w:val="22F41E44"/>
    <w:rsid w:val="23484CF1"/>
    <w:rsid w:val="23D423B4"/>
    <w:rsid w:val="23FF2598"/>
    <w:rsid w:val="25043945"/>
    <w:rsid w:val="2569115D"/>
    <w:rsid w:val="26DF29AC"/>
    <w:rsid w:val="27B3517A"/>
    <w:rsid w:val="28F3492D"/>
    <w:rsid w:val="29B67431"/>
    <w:rsid w:val="2A1721F2"/>
    <w:rsid w:val="2C9337B1"/>
    <w:rsid w:val="2CA16103"/>
    <w:rsid w:val="2D7123B7"/>
    <w:rsid w:val="2DE649A3"/>
    <w:rsid w:val="2E5B16E1"/>
    <w:rsid w:val="2ECF18AA"/>
    <w:rsid w:val="2EEB283A"/>
    <w:rsid w:val="2F383184"/>
    <w:rsid w:val="2F57175D"/>
    <w:rsid w:val="2F8548F3"/>
    <w:rsid w:val="30351958"/>
    <w:rsid w:val="30CF358A"/>
    <w:rsid w:val="32291B02"/>
    <w:rsid w:val="329F0C04"/>
    <w:rsid w:val="33A12315"/>
    <w:rsid w:val="343B57A9"/>
    <w:rsid w:val="347C71D5"/>
    <w:rsid w:val="34975B1E"/>
    <w:rsid w:val="34A75DA4"/>
    <w:rsid w:val="34CC59A7"/>
    <w:rsid w:val="35283A77"/>
    <w:rsid w:val="35732EAB"/>
    <w:rsid w:val="35A4152E"/>
    <w:rsid w:val="35E525D1"/>
    <w:rsid w:val="3608161B"/>
    <w:rsid w:val="3689596D"/>
    <w:rsid w:val="36BF5CC8"/>
    <w:rsid w:val="388E5FDA"/>
    <w:rsid w:val="39715F2D"/>
    <w:rsid w:val="39F74572"/>
    <w:rsid w:val="3A8E2E37"/>
    <w:rsid w:val="3B5F47C3"/>
    <w:rsid w:val="3D0D111B"/>
    <w:rsid w:val="3DDC2EDA"/>
    <w:rsid w:val="3E39262D"/>
    <w:rsid w:val="3E4A5F63"/>
    <w:rsid w:val="3F3D32CB"/>
    <w:rsid w:val="3F4B3DBC"/>
    <w:rsid w:val="400613B4"/>
    <w:rsid w:val="404323A5"/>
    <w:rsid w:val="408D71D7"/>
    <w:rsid w:val="40F9550B"/>
    <w:rsid w:val="426C1B97"/>
    <w:rsid w:val="42743BCB"/>
    <w:rsid w:val="429373A2"/>
    <w:rsid w:val="4344143E"/>
    <w:rsid w:val="43854217"/>
    <w:rsid w:val="438C3243"/>
    <w:rsid w:val="44F32001"/>
    <w:rsid w:val="45253CF6"/>
    <w:rsid w:val="45646B1F"/>
    <w:rsid w:val="46563F5F"/>
    <w:rsid w:val="46AE1F18"/>
    <w:rsid w:val="46C71020"/>
    <w:rsid w:val="46FB4A22"/>
    <w:rsid w:val="47177CA0"/>
    <w:rsid w:val="474F196C"/>
    <w:rsid w:val="496D4EDD"/>
    <w:rsid w:val="4ABC573E"/>
    <w:rsid w:val="4B227261"/>
    <w:rsid w:val="4BD87CAD"/>
    <w:rsid w:val="4D494A31"/>
    <w:rsid w:val="4D4E6522"/>
    <w:rsid w:val="4DBF5525"/>
    <w:rsid w:val="4EBF4B5E"/>
    <w:rsid w:val="507A420F"/>
    <w:rsid w:val="511C6458"/>
    <w:rsid w:val="51295856"/>
    <w:rsid w:val="521F1AAF"/>
    <w:rsid w:val="522A2C01"/>
    <w:rsid w:val="52650555"/>
    <w:rsid w:val="52C16F51"/>
    <w:rsid w:val="53572647"/>
    <w:rsid w:val="537E31B3"/>
    <w:rsid w:val="53CE2445"/>
    <w:rsid w:val="55455002"/>
    <w:rsid w:val="55DB0C7B"/>
    <w:rsid w:val="570D79CA"/>
    <w:rsid w:val="57121CF7"/>
    <w:rsid w:val="589B10B7"/>
    <w:rsid w:val="58CB7D44"/>
    <w:rsid w:val="58F30A28"/>
    <w:rsid w:val="58FB0EC8"/>
    <w:rsid w:val="5B420A05"/>
    <w:rsid w:val="5B9A5FEA"/>
    <w:rsid w:val="5BBA29DD"/>
    <w:rsid w:val="5C1044D8"/>
    <w:rsid w:val="5CEE4AF9"/>
    <w:rsid w:val="5DA56F7B"/>
    <w:rsid w:val="5F277E5F"/>
    <w:rsid w:val="5FF05333"/>
    <w:rsid w:val="600B75EF"/>
    <w:rsid w:val="613B606A"/>
    <w:rsid w:val="62E71FB6"/>
    <w:rsid w:val="635C6039"/>
    <w:rsid w:val="640A5255"/>
    <w:rsid w:val="64145F3B"/>
    <w:rsid w:val="647F73C1"/>
    <w:rsid w:val="64DF3162"/>
    <w:rsid w:val="651779D1"/>
    <w:rsid w:val="65637F91"/>
    <w:rsid w:val="6585448E"/>
    <w:rsid w:val="65BD6C42"/>
    <w:rsid w:val="668415F3"/>
    <w:rsid w:val="672D2D56"/>
    <w:rsid w:val="6A1A7C2A"/>
    <w:rsid w:val="6A9923F2"/>
    <w:rsid w:val="6A9954DA"/>
    <w:rsid w:val="6CB41594"/>
    <w:rsid w:val="6D0A7F6C"/>
    <w:rsid w:val="6DD25D21"/>
    <w:rsid w:val="6ECF425C"/>
    <w:rsid w:val="6ED574D6"/>
    <w:rsid w:val="6F9E5A29"/>
    <w:rsid w:val="708E50BE"/>
    <w:rsid w:val="70E44B48"/>
    <w:rsid w:val="719268CD"/>
    <w:rsid w:val="72BE667F"/>
    <w:rsid w:val="73097736"/>
    <w:rsid w:val="74443F76"/>
    <w:rsid w:val="74C675FD"/>
    <w:rsid w:val="763450D7"/>
    <w:rsid w:val="77AD7A62"/>
    <w:rsid w:val="77E33F1F"/>
    <w:rsid w:val="78EF193B"/>
    <w:rsid w:val="79904D8C"/>
    <w:rsid w:val="7AC34CDF"/>
    <w:rsid w:val="7AE509B7"/>
    <w:rsid w:val="7BA83DBE"/>
    <w:rsid w:val="7BF666EA"/>
    <w:rsid w:val="7E227595"/>
    <w:rsid w:val="7E5425C2"/>
    <w:rsid w:val="7E8D151F"/>
    <w:rsid w:val="7EA16C77"/>
    <w:rsid w:val="7EB61690"/>
    <w:rsid w:val="A7F9F6E5"/>
    <w:rsid w:val="DF6BC102"/>
    <w:rsid w:val="EFDE2011"/>
    <w:rsid w:val="FFBF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1323</Words>
  <Characters>1468</Characters>
  <Lines>1</Lines>
  <Paragraphs>1</Paragraphs>
  <TotalTime>2</TotalTime>
  <ScaleCrop>false</ScaleCrop>
  <LinksUpToDate>false</LinksUpToDate>
  <CharactersWithSpaces>1469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2019-11-06T14:53:00Z</dcterms:created>
  <dc:creator>林振顺</dc:creator>
  <cp:lastModifiedBy>林莉梅/fjfda</cp:lastModifiedBy>
  <cp:lastPrinted>2020-09-10T10:55:00Z</cp:lastPrinted>
  <dcterms:modified xsi:type="dcterms:W3CDTF">2022-11-10T08:28:47Z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