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adjustRightInd/>
        <w:spacing w:line="620" w:lineRule="exact"/>
        <w:jc w:val="center"/>
        <w:textAlignment w:val="auto"/>
        <w:rPr>
          <w:rFonts w:ascii="Times New Roman" w:hAnsi="Times New Roman" w:eastAsia="方正小标宋简体" w:cs="方正小标宋简体"/>
          <w:color w:val="auto"/>
          <w:sz w:val="44"/>
          <w:szCs w:val="44"/>
        </w:rPr>
      </w:pPr>
      <w:r>
        <w:rPr>
          <w:rFonts w:hint="eastAsia" w:ascii="Times New Roman" w:hAnsi="Times New Roman" w:eastAsia="方正小标宋简体" w:cs="方正小标宋简体"/>
          <w:bCs/>
          <w:color w:val="auto"/>
          <w:sz w:val="44"/>
          <w:szCs w:val="44"/>
          <w:lang w:eastAsia="zh-CN"/>
        </w:rPr>
        <w:t>福建省药品</w:t>
      </w:r>
      <w:r>
        <w:rPr>
          <w:rFonts w:hint="eastAsia" w:ascii="Times New Roman" w:hAnsi="Times New Roman" w:eastAsia="方正小标宋简体" w:cs="方正小标宋简体"/>
          <w:bCs/>
          <w:color w:val="auto"/>
          <w:sz w:val="44"/>
          <w:szCs w:val="44"/>
        </w:rPr>
        <w:t>监督管理局</w:t>
      </w:r>
      <w:r>
        <w:rPr>
          <w:rFonts w:hint="eastAsia" w:ascii="Times New Roman" w:hAnsi="Times New Roman" w:eastAsia="方正小标宋简体" w:cs="方正小标宋简体"/>
          <w:bCs/>
          <w:color w:val="auto"/>
          <w:sz w:val="44"/>
          <w:szCs w:val="44"/>
          <w:lang w:eastAsia="zh-CN"/>
        </w:rPr>
        <w:t>厦门药品稽查办公室</w:t>
      </w:r>
    </w:p>
    <w:p>
      <w:pPr>
        <w:keepNext w:val="0"/>
        <w:keepLines w:val="0"/>
        <w:pageBreakBefore w:val="0"/>
        <w:kinsoku/>
        <w:overflowPunct/>
        <w:topLinePunct w:val="0"/>
        <w:bidi w:val="0"/>
        <w:adjustRightInd/>
        <w:spacing w:line="620" w:lineRule="exact"/>
        <w:jc w:val="center"/>
        <w:textAlignment w:val="auto"/>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行政处罚决定书</w:t>
      </w:r>
    </w:p>
    <w:p>
      <w:pPr>
        <w:jc w:val="center"/>
        <w:rPr>
          <w:rFonts w:hint="eastAsia" w:ascii="楷体" w:hAnsi="楷体" w:eastAsia="楷体" w:cs="楷体"/>
          <w:b w:val="0"/>
          <w:bCs w:val="0"/>
          <w:sz w:val="32"/>
          <w:szCs w:val="32"/>
          <w:u w:val="single"/>
          <w:lang w:val="en-US" w:eastAsia="zh-CN"/>
        </w:rPr>
      </w:pPr>
      <w:r>
        <w:rPr>
          <w:rFonts w:hint="eastAsia" w:ascii="楷体" w:hAnsi="楷体" w:eastAsia="楷体" w:cs="楷体"/>
          <w:b w:val="0"/>
          <w:bCs w:val="0"/>
          <w:sz w:val="32"/>
          <w:szCs w:val="32"/>
          <w:u w:val="none"/>
          <w:lang w:val="en-US" w:eastAsia="zh-CN"/>
        </w:rPr>
        <w:t>闽药监厦稽办〔2022〕</w:t>
      </w:r>
      <w:r>
        <w:rPr>
          <w:rFonts w:hint="eastAsia" w:ascii="楷体" w:hAnsi="楷体" w:eastAsia="楷体" w:cs="楷体"/>
          <w:b w:val="0"/>
          <w:bCs w:val="0"/>
          <w:color w:val="auto"/>
          <w:sz w:val="32"/>
          <w:szCs w:val="32"/>
          <w:u w:val="none"/>
          <w:lang w:val="en-US" w:eastAsia="zh-CN"/>
        </w:rPr>
        <w:t>4-007</w:t>
      </w:r>
      <w:r>
        <w:rPr>
          <w:rFonts w:hint="eastAsia" w:ascii="楷体" w:hAnsi="楷体" w:eastAsia="楷体" w:cs="楷体"/>
          <w:b w:val="0"/>
          <w:bCs w:val="0"/>
          <w:sz w:val="32"/>
          <w:szCs w:val="32"/>
          <w:u w:val="none"/>
          <w:lang w:val="en-US" w:eastAsia="zh-CN"/>
        </w:rPr>
        <w:t>号</w:t>
      </w:r>
    </w:p>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lang w:eastAsia="zh-CN"/>
        </w:rPr>
        <w:t>当事人：</w:t>
      </w:r>
      <w:r>
        <w:rPr>
          <w:rFonts w:hint="eastAsia" w:ascii="仿宋" w:hAnsi="仿宋" w:eastAsia="仿宋" w:cs="仿宋"/>
          <w:sz w:val="32"/>
          <w:szCs w:val="32"/>
          <w:lang w:val="en-US" w:eastAsia="zh-CN"/>
        </w:rPr>
        <w:t>诗丽雅化妆品（泉州）有限公司</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主体资格证照名称：营业执照</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统一社会信用代码：</w:t>
      </w:r>
      <w:r>
        <w:rPr>
          <w:rFonts w:hint="eastAsia" w:ascii="仿宋" w:hAnsi="仿宋" w:eastAsia="仿宋" w:cs="仿宋"/>
          <w:sz w:val="32"/>
          <w:szCs w:val="32"/>
          <w:lang w:val="en-US" w:eastAsia="zh-CN"/>
        </w:rPr>
        <w:t>91350500611535223H</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ascii="仿宋" w:hAnsi="仿宋" w:eastAsia="仿宋" w:cs="仿宋"/>
          <w:kern w:val="0"/>
          <w:sz w:val="32"/>
          <w:szCs w:val="32"/>
          <w:lang w:bidi="ar"/>
        </w:rPr>
      </w:pPr>
      <w:r>
        <w:rPr>
          <w:rFonts w:hint="eastAsia" w:ascii="仿宋" w:hAnsi="仿宋" w:eastAsia="仿宋" w:cs="仿宋"/>
          <w:sz w:val="32"/>
          <w:szCs w:val="32"/>
          <w:u w:val="none"/>
          <w:lang w:val="en-US" w:eastAsia="zh-CN"/>
        </w:rPr>
        <w:t>住所：</w:t>
      </w:r>
      <w:r>
        <w:rPr>
          <w:rFonts w:hint="eastAsia" w:ascii="仿宋" w:hAnsi="仿宋" w:eastAsia="仿宋" w:cs="仿宋"/>
          <w:sz w:val="32"/>
          <w:szCs w:val="32"/>
          <w:lang w:val="en-US" w:eastAsia="zh-CN"/>
        </w:rPr>
        <w:t>福建省泉州经济技术开发区美泰路24号</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hint="default"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法定代表人：</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身份证号码：</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hint="eastAsia"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62"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r>
        <w:rPr>
          <w:rFonts w:hint="eastAsia" w:ascii="仿宋" w:hAnsi="仿宋" w:eastAsia="仿宋" w:cs="仿宋"/>
          <w:sz w:val="32"/>
          <w:szCs w:val="32"/>
          <w:lang w:eastAsia="zh-CN"/>
        </w:rPr>
        <w:t>，</w:t>
      </w:r>
      <w:r>
        <w:rPr>
          <w:rFonts w:hint="eastAsia" w:ascii="仿宋" w:hAnsi="仿宋" w:eastAsia="仿宋" w:cs="仿宋"/>
          <w:sz w:val="32"/>
          <w:szCs w:val="32"/>
        </w:rPr>
        <w:t>我办</w:t>
      </w:r>
      <w:r>
        <w:rPr>
          <w:rFonts w:hint="eastAsia" w:ascii="仿宋" w:hAnsi="仿宋" w:eastAsia="仿宋" w:cs="仿宋"/>
          <w:sz w:val="32"/>
          <w:szCs w:val="32"/>
          <w:lang w:val="en-US" w:eastAsia="zh-CN"/>
        </w:rPr>
        <w:t>收到国家化妆品抽检系统不合格检验报告，诗丽雅化妆品（泉州）有限公司生产的批号为09A“凯伊秀铂金修颜靓丽碧碧霜”化妆品，经浙江省食品药品质量检验研究院检验检出产品标签未标示的防晒剂：甲氧基肉桂酸乙基己酯。我办</w:t>
      </w:r>
      <w:r>
        <w:rPr>
          <w:rFonts w:hint="eastAsia" w:ascii="仿宋" w:eastAsia="仿宋" w:cs="仿宋"/>
          <w:sz w:val="32"/>
          <w:szCs w:val="32"/>
          <w:lang w:eastAsia="zh-CN"/>
        </w:rPr>
        <w:t>执法</w:t>
      </w:r>
      <w:r>
        <w:rPr>
          <w:rFonts w:hint="eastAsia" w:ascii="仿宋" w:eastAsia="仿宋" w:cs="仿宋"/>
          <w:kern w:val="0"/>
          <w:sz w:val="32"/>
          <w:szCs w:val="32"/>
        </w:rPr>
        <w:t>人员</w:t>
      </w:r>
      <w:r>
        <w:rPr>
          <w:rFonts w:hint="eastAsia" w:ascii="仿宋" w:eastAsia="仿宋" w:cs="仿宋"/>
          <w:kern w:val="0"/>
          <w:sz w:val="32"/>
          <w:szCs w:val="32"/>
          <w:lang w:eastAsia="zh-CN"/>
        </w:rPr>
        <w:t>到</w:t>
      </w:r>
      <w:r>
        <w:rPr>
          <w:rFonts w:hint="eastAsia" w:ascii="仿宋" w:eastAsia="仿宋" w:cs="仿宋"/>
          <w:kern w:val="0"/>
          <w:sz w:val="32"/>
          <w:szCs w:val="32"/>
        </w:rPr>
        <w:t>当事人</w:t>
      </w:r>
      <w:r>
        <w:rPr>
          <w:rFonts w:hint="eastAsia" w:ascii="仿宋" w:eastAsia="仿宋" w:cs="仿宋"/>
          <w:kern w:val="0"/>
          <w:sz w:val="32"/>
          <w:szCs w:val="32"/>
          <w:lang w:eastAsia="zh-CN"/>
        </w:rPr>
        <w:t>住所送达了检验报告</w:t>
      </w:r>
      <w:r>
        <w:rPr>
          <w:rFonts w:hint="eastAsia" w:ascii="仿宋" w:eastAsia="仿宋" w:cs="仿宋"/>
          <w:kern w:val="0"/>
          <w:sz w:val="32"/>
          <w:szCs w:val="32"/>
          <w:lang w:val="en-US" w:eastAsia="zh-CN"/>
        </w:rPr>
        <w:t>并要求当事人对抽检不合格产品采取风险防控措施。当事人</w:t>
      </w:r>
      <w:r>
        <w:rPr>
          <w:rFonts w:hint="eastAsia" w:ascii="仿宋" w:hAnsi="仿宋" w:eastAsia="仿宋" w:cs="仿宋"/>
          <w:sz w:val="32"/>
          <w:szCs w:val="32"/>
          <w:lang w:val="en-US" w:eastAsia="zh-CN"/>
        </w:rPr>
        <w:t>提出复检申请，经上海食品药品检验研究院复检检出产品标签未标示的防晒剂：甲氧基肉桂酸乙基己酯。</w:t>
      </w:r>
    </w:p>
    <w:p>
      <w:pPr>
        <w:keepNext w:val="0"/>
        <w:keepLines w:val="0"/>
        <w:pageBreakBefore w:val="0"/>
        <w:widowControl w:val="0"/>
        <w:kinsoku/>
        <w:wordWrap/>
        <w:overflowPunct/>
        <w:topLinePunct w:val="0"/>
        <w:autoSpaceDE/>
        <w:autoSpaceDN/>
        <w:bidi w:val="0"/>
        <w:adjustRightInd/>
        <w:snapToGrid/>
        <w:spacing w:line="520" w:lineRule="exact"/>
        <w:ind w:firstLine="662"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eastAsia="zh-CN"/>
        </w:rPr>
        <w:t>为进一步查明事实，本办依法对当事人立案调查。调查过程中，执法人员依法取得当事人提供的相关证明材料，制作现场笔录、询问笔录，期间未采取行政强制措施。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62" w:firstLineChars="200"/>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经查，凯伊秀铂金修颜靓丽碧碧霜为国产非特殊用途化妆品，备案编号为闽G妆网备字202000221，涉案批次</w:t>
      </w:r>
      <w:r>
        <w:rPr>
          <w:rFonts w:hint="eastAsia" w:ascii="仿宋" w:hAnsi="仿宋" w:eastAsia="仿宋" w:cs="仿宋"/>
          <w:sz w:val="32"/>
          <w:szCs w:val="32"/>
          <w:lang w:eastAsia="zh-CN"/>
        </w:rPr>
        <w:t>检出的</w:t>
      </w:r>
      <w:r>
        <w:rPr>
          <w:rFonts w:hint="eastAsia" w:ascii="仿宋" w:hAnsi="仿宋" w:eastAsia="仿宋" w:cs="仿宋"/>
          <w:sz w:val="32"/>
          <w:szCs w:val="32"/>
          <w:lang w:val="en-US" w:eastAsia="zh-CN"/>
        </w:rPr>
        <w:t>甲氧基肉桂酸乙基己酯与备案成分不一致。当事人为该化妆品备案人。</w:t>
      </w:r>
    </w:p>
    <w:p>
      <w:pPr>
        <w:keepNext w:val="0"/>
        <w:keepLines w:val="0"/>
        <w:pageBreakBefore w:val="0"/>
        <w:widowControl w:val="0"/>
        <w:kinsoku/>
        <w:wordWrap/>
        <w:overflowPunct/>
        <w:topLinePunct w:val="0"/>
        <w:autoSpaceDE/>
        <w:autoSpaceDN/>
        <w:bidi w:val="0"/>
        <w:adjustRightInd/>
        <w:snapToGrid/>
        <w:spacing w:line="520" w:lineRule="exact"/>
        <w:ind w:firstLine="662" w:firstLineChars="200"/>
        <w:jc w:val="both"/>
        <w:textAlignment w:val="auto"/>
        <w:rPr>
          <w:rFonts w:hint="eastAsia" w:ascii="仿宋" w:hAnsi="仿宋" w:eastAsia="仿宋" w:cs="仿宋"/>
          <w:sz w:val="32"/>
          <w:szCs w:val="32"/>
          <w:lang w:val="en-US" w:eastAsia="zh-CN"/>
        </w:rPr>
      </w:pPr>
      <w:r>
        <w:rPr>
          <w:rFonts w:hint="default" w:ascii="仿宋" w:hAnsi="仿宋" w:eastAsia="仿宋" w:cs="仿宋"/>
          <w:sz w:val="32"/>
          <w:szCs w:val="32"/>
        </w:rPr>
        <w:t>当事人</w:t>
      </w:r>
      <w:r>
        <w:rPr>
          <w:rFonts w:hint="eastAsia" w:ascii="仿宋" w:hAnsi="仿宋" w:eastAsia="仿宋" w:cs="仿宋"/>
          <w:sz w:val="32"/>
          <w:szCs w:val="32"/>
          <w:lang w:eastAsia="zh-CN"/>
        </w:rPr>
        <w:t>共</w:t>
      </w:r>
      <w:r>
        <w:rPr>
          <w:rFonts w:hint="eastAsia" w:ascii="仿宋" w:hAnsi="仿宋" w:eastAsia="仿宋" w:cs="仿宋"/>
          <w:sz w:val="32"/>
          <w:szCs w:val="32"/>
          <w:lang w:val="en-US" w:eastAsia="zh-CN"/>
        </w:rPr>
        <w:t>生产09A批次凯伊秀铂金修颜靓丽碧碧霜5322瓶（留样8瓶）、因灌装过程中使用到的部分设备是上一批次用于生产防晒产品清场不彻底，造成污染，导致产品带入甲氧基肉桂酸乙基己酯。该批次产品全部销售给上海沃程贸易发展有限公司，共销售5314瓶，销售收入为47260.32元。</w:t>
      </w:r>
    </w:p>
    <w:p>
      <w:pPr>
        <w:keepNext w:val="0"/>
        <w:keepLines w:val="0"/>
        <w:pageBreakBefore w:val="0"/>
        <w:widowControl w:val="0"/>
        <w:kinsoku/>
        <w:wordWrap/>
        <w:overflowPunct/>
        <w:topLinePunct w:val="0"/>
        <w:autoSpaceDE/>
        <w:autoSpaceDN/>
        <w:bidi w:val="0"/>
        <w:adjustRightInd/>
        <w:snapToGrid/>
        <w:spacing w:line="520" w:lineRule="exact"/>
        <w:ind w:firstLine="66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lang w:val="en-US" w:eastAsia="zh-CN"/>
        </w:rPr>
        <w:t>当事人2022年7月4日通知经销商暂停销售该批次产品后启动召回程序，截止2022年10月24日合计共召回71瓶，退回货款466.21元。</w:t>
      </w:r>
    </w:p>
    <w:p>
      <w:pPr>
        <w:keepNext w:val="0"/>
        <w:keepLines w:val="0"/>
        <w:pageBreakBefore w:val="0"/>
        <w:widowControl w:val="0"/>
        <w:kinsoku/>
        <w:wordWrap/>
        <w:overflowPunct/>
        <w:topLinePunct w:val="0"/>
        <w:autoSpaceDE/>
        <w:autoSpaceDN/>
        <w:bidi w:val="0"/>
        <w:adjustRightInd/>
        <w:snapToGrid/>
        <w:spacing w:line="520" w:lineRule="exact"/>
        <w:ind w:firstLine="66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rPr>
        <w:t>上述事实，</w:t>
      </w:r>
      <w:r>
        <w:rPr>
          <w:rFonts w:hint="eastAsia" w:ascii="仿宋" w:hAnsi="仿宋" w:eastAsia="仿宋" w:cs="仿宋"/>
          <w:b w:val="0"/>
          <w:bCs w:val="0"/>
          <w:color w:val="auto"/>
          <w:sz w:val="32"/>
          <w:szCs w:val="32"/>
          <w:lang w:eastAsia="zh-CN"/>
        </w:rPr>
        <w:t>主要有</w:t>
      </w:r>
      <w:r>
        <w:rPr>
          <w:rFonts w:hint="eastAsia" w:ascii="仿宋" w:hAnsi="仿宋" w:eastAsia="仿宋" w:cs="仿宋"/>
          <w:color w:val="auto"/>
          <w:sz w:val="32"/>
          <w:szCs w:val="32"/>
          <w:lang w:eastAsia="zh-CN"/>
        </w:rPr>
        <w:t>现场检查笔录、询问调查笔录、当事人营业执照、</w:t>
      </w:r>
      <w:r>
        <w:rPr>
          <w:rFonts w:hint="eastAsia" w:ascii="仿宋" w:hAnsi="仿宋" w:eastAsia="仿宋" w:cs="仿宋"/>
          <w:color w:val="auto"/>
          <w:sz w:val="32"/>
          <w:szCs w:val="32"/>
          <w:lang w:val="en-US" w:eastAsia="zh-CN"/>
        </w:rPr>
        <w:t>化妆品生产许可证</w:t>
      </w:r>
      <w:r>
        <w:rPr>
          <w:rFonts w:hint="eastAsia" w:ascii="仿宋" w:hAnsi="仿宋" w:eastAsia="仿宋" w:cs="仿宋"/>
          <w:color w:val="auto"/>
          <w:sz w:val="32"/>
          <w:szCs w:val="32"/>
          <w:lang w:eastAsia="zh-CN"/>
        </w:rPr>
        <w:t>、相关人员身份证明材料、产品备案资料、检验报告、批生产记录、销售明细、销售发票、</w:t>
      </w:r>
      <w:r>
        <w:rPr>
          <w:rFonts w:hint="eastAsia" w:ascii="仿宋" w:hAnsi="仿宋" w:eastAsia="仿宋" w:cs="仿宋"/>
          <w:sz w:val="32"/>
          <w:szCs w:val="32"/>
          <w:lang w:val="en-US" w:eastAsia="zh-CN"/>
        </w:rPr>
        <w:t>凯伊秀铂金修颜靓丽碧碧霜的专项检查报告、不合格原因分析报告及广州市微生物研究所有限公司检测报告（原料、成品检验报告共11份）以及整改报告、</w:t>
      </w:r>
      <w:r>
        <w:rPr>
          <w:rFonts w:hint="eastAsia" w:ascii="仿宋" w:hAnsi="仿宋" w:eastAsia="仿宋" w:cs="仿宋"/>
          <w:sz w:val="32"/>
          <w:szCs w:val="32"/>
          <w:lang w:eastAsia="zh-CN"/>
        </w:rPr>
        <w:t>采取风险控制措施及复检告知承诺书及召回报告</w:t>
      </w:r>
      <w:r>
        <w:rPr>
          <w:rFonts w:hint="eastAsia" w:ascii="仿宋" w:hAnsi="仿宋" w:eastAsia="仿宋" w:cs="仿宋"/>
          <w:color w:val="auto"/>
          <w:sz w:val="32"/>
          <w:szCs w:val="32"/>
          <w:lang w:eastAsia="zh-CN"/>
        </w:rPr>
        <w:t>等证据材料予以证明，事实清楚，证据确凿</w:t>
      </w:r>
      <w:r>
        <w:rPr>
          <w:rFonts w:hint="default"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62"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sz w:val="32"/>
          <w:szCs w:val="32"/>
          <w:lang w:val="en-US" w:eastAsia="zh-CN"/>
        </w:rPr>
        <w:t>2022年11月3</w:t>
      </w:r>
      <w:bookmarkStart w:id="0" w:name="_GoBack"/>
      <w:bookmarkEnd w:id="0"/>
      <w:r>
        <w:rPr>
          <w:rFonts w:hint="eastAsia" w:ascii="仿宋" w:hAnsi="仿宋" w:eastAsia="仿宋" w:cs="仿宋"/>
          <w:sz w:val="32"/>
          <w:szCs w:val="32"/>
          <w:lang w:val="en-US" w:eastAsia="zh-CN"/>
        </w:rPr>
        <w:t>日，</w:t>
      </w:r>
      <w:r>
        <w:rPr>
          <w:rFonts w:hint="eastAsia" w:ascii="仿宋" w:hAnsi="仿宋" w:eastAsia="仿宋" w:cs="仿宋"/>
          <w:color w:val="auto"/>
          <w:kern w:val="0"/>
          <w:sz w:val="32"/>
          <w:szCs w:val="32"/>
          <w:lang w:val="en-US" w:eastAsia="zh-CN" w:bidi="ar"/>
        </w:rPr>
        <w:t>本办将行政处罚告知书直接送达当事人，并告知当事人具有陈述、申辩并要求举行听证的权利。当事人在期限内未向本局提出陈述申辩，未申请听证。</w:t>
      </w:r>
    </w:p>
    <w:p>
      <w:pPr>
        <w:keepNext w:val="0"/>
        <w:keepLines w:val="0"/>
        <w:pageBreakBefore w:val="0"/>
        <w:widowControl w:val="0"/>
        <w:kinsoku/>
        <w:wordWrap/>
        <w:overflowPunct/>
        <w:topLinePunct w:val="0"/>
        <w:autoSpaceDE/>
        <w:autoSpaceDN/>
        <w:bidi w:val="0"/>
        <w:adjustRightInd/>
        <w:snapToGrid/>
        <w:spacing w:line="520" w:lineRule="exact"/>
        <w:ind w:firstLine="662"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本办认为，</w:t>
      </w:r>
      <w:r>
        <w:rPr>
          <w:rFonts w:hint="eastAsia" w:ascii="仿宋" w:hAnsi="仿宋" w:eastAsia="仿宋" w:cs="仿宋"/>
          <w:color w:val="000000"/>
          <w:sz w:val="32"/>
          <w:szCs w:val="32"/>
          <w:lang w:val="en-US" w:eastAsia="zh-CN"/>
        </w:rPr>
        <w:t>当事人</w:t>
      </w:r>
      <w:r>
        <w:rPr>
          <w:rFonts w:hint="eastAsia" w:ascii="仿宋" w:hAnsi="仿宋" w:eastAsia="仿宋" w:cs="仿宋"/>
          <w:sz w:val="32"/>
          <w:szCs w:val="32"/>
          <w:lang w:val="en-US" w:eastAsia="zh-CN"/>
        </w:rPr>
        <w:t>生产销售的化妆品伊秀铂金修颜靓丽碧碧霜（批号09A）经检验检出甲氧基肉桂酸乙基己酯，与化妆品备案凭证载明的成分不一致，当事人生产销售上述批次化妆品的行为违反《化妆品监督管理条例》第十七条“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w:t>
      </w:r>
      <w:r>
        <w:rPr>
          <w:rFonts w:hint="eastAsia" w:ascii="仿宋" w:hAnsi="仿宋" w:eastAsia="仿宋" w:cs="仿宋"/>
          <w:kern w:val="1"/>
          <w:sz w:val="32"/>
          <w:szCs w:val="32"/>
          <w:u w:val="none"/>
          <w:lang w:val="en-US" w:eastAsia="zh-CN"/>
        </w:rPr>
        <w:t>应当依据</w:t>
      </w:r>
      <w:r>
        <w:rPr>
          <w:rFonts w:hint="eastAsia" w:ascii="仿宋" w:eastAsia="仿宋" w:cs="仿宋"/>
          <w:kern w:val="0"/>
          <w:sz w:val="32"/>
          <w:szCs w:val="32"/>
          <w:lang w:val="en-US" w:eastAsia="zh-CN"/>
        </w:rPr>
        <w:t>《化妆品监督管理条例</w:t>
      </w:r>
      <w:r>
        <w:rPr>
          <w:rFonts w:hint="eastAsia" w:ascii="仿宋" w:eastAsia="仿宋" w:cs="仿宋"/>
          <w:iCs/>
          <w:color w:val="231F20"/>
          <w:spacing w:val="-11"/>
          <w:sz w:val="32"/>
          <w:szCs w:val="32"/>
          <w:lang w:val="en-US" w:eastAsia="zh-CN"/>
        </w:rPr>
        <w:t>》第六十一条</w:t>
      </w:r>
      <w:r>
        <w:rPr>
          <w:rFonts w:hint="eastAsia" w:ascii="仿宋" w:hAnsi="仿宋" w:eastAsia="仿宋" w:cs="仿宋"/>
          <w:sz w:val="32"/>
          <w:szCs w:val="32"/>
          <w:lang w:val="en-US" w:eastAsia="zh-CN"/>
        </w:rPr>
        <w:t>第一款第（一）项规</w:t>
      </w:r>
      <w:r>
        <w:rPr>
          <w:rFonts w:hint="eastAsia" w:ascii="仿宋" w:eastAsia="仿宋" w:cs="仿宋"/>
          <w:kern w:val="0"/>
          <w:sz w:val="32"/>
          <w:szCs w:val="32"/>
          <w:lang w:val="en-US" w:eastAsia="zh-CN"/>
        </w:rPr>
        <w:t>定</w:t>
      </w:r>
      <w:r>
        <w:rPr>
          <w:rFonts w:hint="eastAsia" w:ascii="仿宋" w:hAnsi="仿宋" w:eastAsia="仿宋" w:cs="仿宋"/>
          <w:sz w:val="32"/>
          <w:szCs w:val="32"/>
          <w:lang w:val="en-US" w:eastAsia="zh-CN"/>
        </w:rPr>
        <w:t>给予处罚。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662"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上，根据《中华人民共和国行政处罚法》第二十八条第一款“行政机关实施行政处罚时，应当责令当事人改正或者限期改正违法行为”的规定，责令当事人改正上述违法行为。鉴于当事人积极配合调查且对上述批次化妆品实施召回，本办依据《化妆品监督管理条例》</w:t>
      </w:r>
      <w:r>
        <w:rPr>
          <w:rFonts w:hint="eastAsia" w:ascii="仿宋" w:eastAsia="仿宋" w:cs="仿宋"/>
          <w:iCs/>
          <w:color w:val="231F20"/>
          <w:spacing w:val="-11"/>
          <w:sz w:val="32"/>
          <w:szCs w:val="32"/>
          <w:lang w:val="en-US" w:eastAsia="zh-CN"/>
        </w:rPr>
        <w:t>第六十一条</w:t>
      </w:r>
      <w:r>
        <w:rPr>
          <w:rFonts w:hint="eastAsia" w:ascii="仿宋" w:hAnsi="仿宋" w:eastAsia="仿宋" w:cs="仿宋"/>
          <w:sz w:val="32"/>
          <w:szCs w:val="32"/>
          <w:lang w:val="en-US" w:eastAsia="zh-CN"/>
        </w:rPr>
        <w:t>第一款第（一）项“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一）上市销售、经营或者进口未备案的普通化妆品；”的规定，决定对当事人处理如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662"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1.没收召回涉案产品67瓶；</w:t>
      </w:r>
    </w:p>
    <w:p>
      <w:pPr>
        <w:keepNext w:val="0"/>
        <w:keepLines w:val="0"/>
        <w:pageBreakBefore w:val="0"/>
        <w:widowControl w:val="0"/>
        <w:kinsoku/>
        <w:wordWrap/>
        <w:overflowPunct/>
        <w:topLinePunct w:val="0"/>
        <w:autoSpaceDE/>
        <w:autoSpaceDN/>
        <w:bidi w:val="0"/>
        <w:adjustRightInd/>
        <w:snapToGrid/>
        <w:spacing w:line="520" w:lineRule="exact"/>
        <w:ind w:firstLine="662"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sz w:val="32"/>
          <w:szCs w:val="32"/>
          <w:lang w:val="en-US" w:eastAsia="zh-CN"/>
        </w:rPr>
        <w:t>2.没收当事人违法所得46794.11元、并处货值3倍罚款141780.96元，罚没款合计共188575.07元。</w:t>
      </w:r>
    </w:p>
    <w:p>
      <w:pPr>
        <w:keepNext w:val="0"/>
        <w:keepLines w:val="0"/>
        <w:pageBreakBefore w:val="0"/>
        <w:widowControl w:val="0"/>
        <w:kinsoku/>
        <w:wordWrap/>
        <w:overflowPunct/>
        <w:topLinePunct w:val="0"/>
        <w:autoSpaceDE/>
        <w:autoSpaceDN/>
        <w:bidi w:val="0"/>
        <w:adjustRightInd/>
        <w:snapToGrid/>
        <w:spacing w:line="520" w:lineRule="exact"/>
        <w:ind w:firstLine="662" w:firstLineChars="200"/>
        <w:jc w:val="both"/>
        <w:textAlignment w:val="auto"/>
        <w:rPr>
          <w:rFonts w:hint="eastAsia" w:ascii="仿宋" w:hAnsi="仿宋" w:eastAsia="仿宋" w:cs="仿宋"/>
          <w:sz w:val="32"/>
          <w:szCs w:val="32"/>
        </w:rPr>
      </w:pPr>
      <w:r>
        <w:rPr>
          <w:rFonts w:hint="eastAsia" w:ascii="仿宋" w:hAnsi="仿宋" w:eastAsia="仿宋" w:cs="仿宋"/>
          <w:kern w:val="1"/>
          <w:sz w:val="32"/>
          <w:szCs w:val="32"/>
        </w:rPr>
        <w:t>当事人应自接到本行政处罚决定之日起15日内缴纳上述罚没款。当事人根据</w:t>
      </w:r>
      <w:r>
        <w:rPr>
          <w:rFonts w:hint="eastAsia" w:ascii="仿宋" w:hAnsi="仿宋" w:eastAsia="仿宋" w:cs="仿宋"/>
          <w:kern w:val="1"/>
          <w:sz w:val="32"/>
          <w:szCs w:val="32"/>
          <w:lang w:eastAsia="zh-CN"/>
        </w:rPr>
        <w:t>本局</w:t>
      </w:r>
      <w:r>
        <w:rPr>
          <w:rFonts w:hint="eastAsia" w:ascii="仿宋" w:hAnsi="仿宋" w:eastAsia="仿宋" w:cs="仿宋"/>
          <w:kern w:val="1"/>
          <w:sz w:val="32"/>
          <w:szCs w:val="32"/>
        </w:rPr>
        <w:t>开具的行政处罚缴款通知书，自行选择缴款方式。逾期不缴纳罚款的，依据《中华人民共和国行政处罚法》第</w:t>
      </w:r>
      <w:r>
        <w:rPr>
          <w:rFonts w:hint="eastAsia" w:ascii="仿宋" w:hAnsi="仿宋" w:eastAsia="仿宋" w:cs="仿宋"/>
          <w:kern w:val="1"/>
          <w:sz w:val="32"/>
          <w:szCs w:val="32"/>
          <w:lang w:eastAsia="zh-CN"/>
        </w:rPr>
        <w:t>七十二</w:t>
      </w:r>
      <w:r>
        <w:rPr>
          <w:rFonts w:hint="eastAsia" w:ascii="仿宋" w:hAnsi="仿宋" w:eastAsia="仿宋" w:cs="仿宋"/>
          <w:kern w:val="1"/>
          <w:sz w:val="32"/>
          <w:szCs w:val="32"/>
        </w:rPr>
        <w:t>条的规定，</w:t>
      </w:r>
      <w:r>
        <w:rPr>
          <w:rFonts w:hint="eastAsia" w:ascii="仿宋" w:hAnsi="仿宋" w:eastAsia="仿宋" w:cs="仿宋"/>
          <w:kern w:val="1"/>
          <w:sz w:val="32"/>
          <w:szCs w:val="32"/>
          <w:lang w:eastAsia="zh-CN"/>
        </w:rPr>
        <w:t>本局</w:t>
      </w:r>
      <w:r>
        <w:rPr>
          <w:rFonts w:hint="eastAsia" w:ascii="仿宋" w:hAnsi="仿宋" w:eastAsia="仿宋" w:cs="仿宋"/>
          <w:kern w:val="1"/>
          <w:sz w:val="32"/>
          <w:szCs w:val="32"/>
        </w:rPr>
        <w:t>将每日按罚款数额的百分之三加处罚款，并依法申请人民法院强制执行。</w:t>
      </w:r>
    </w:p>
    <w:p>
      <w:pPr>
        <w:keepNext w:val="0"/>
        <w:keepLines w:val="0"/>
        <w:pageBreakBefore w:val="0"/>
        <w:widowControl w:val="0"/>
        <w:kinsoku/>
        <w:wordWrap/>
        <w:overflowPunct/>
        <w:topLinePunct w:val="0"/>
        <w:autoSpaceDE/>
        <w:autoSpaceDN/>
        <w:bidi w:val="0"/>
        <w:adjustRightInd/>
        <w:snapToGrid/>
        <w:spacing w:line="520" w:lineRule="exact"/>
        <w:ind w:firstLine="662"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u w:val="none"/>
          <w:lang w:eastAsia="zh-CN"/>
        </w:rPr>
        <w:t>当事人如不服本行政处罚决定，可以在收到本行政处罚决定书之日起六十日内向福建省人民政府申请行政复议；也可以在六个月内依法向厦门市思明区人民法院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keepNext w:val="0"/>
        <w:keepLines w:val="0"/>
        <w:pageBreakBefore w:val="0"/>
        <w:kinsoku/>
        <w:overflowPunct/>
        <w:topLinePunct w:val="0"/>
        <w:bidi w:val="0"/>
        <w:adjustRightInd/>
        <w:spacing w:line="620" w:lineRule="exact"/>
        <w:ind w:firstLine="662" w:firstLineChars="200"/>
        <w:jc w:val="both"/>
        <w:textAlignment w:val="auto"/>
        <w:rPr>
          <w:rFonts w:hint="eastAsia" w:ascii="仿宋" w:hAnsi="仿宋"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lang w:eastAsia="zh-CN"/>
        </w:rPr>
        <w:t>福建省药品</w:t>
      </w:r>
      <w:r>
        <w:rPr>
          <w:rFonts w:hint="eastAsia" w:ascii="Times New Roman" w:hAnsi="Times New Roman" w:eastAsia="仿宋_GB2312" w:cs="仿宋"/>
          <w:color w:val="000000"/>
          <w:sz w:val="32"/>
          <w:szCs w:val="32"/>
        </w:rPr>
        <w:t>监督管理局</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b w:val="0"/>
          <w:bCs w:val="0"/>
          <w:sz w:val="32"/>
          <w:szCs w:val="32"/>
          <w:u w:val="none"/>
          <w:lang w:val="en-US" w:eastAsia="zh-CN"/>
        </w:rPr>
      </w:pP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lang w:eastAsia="zh-CN"/>
        </w:rPr>
        <w:t>厦门药品稽查办公室</w:t>
      </w:r>
      <w:r>
        <w:rPr>
          <w:rFonts w:hint="eastAsia" w:ascii="Times New Roman" w:hAnsi="Times New Roman" w:eastAsia="仿宋_GB2312" w:cs="仿宋"/>
          <w:color w:val="000000"/>
          <w:sz w:val="32"/>
          <w:szCs w:val="32"/>
          <w:lang w:val="en-US" w:eastAsia="zh-CN"/>
        </w:rPr>
        <w:t xml:space="preserve">     </w:t>
      </w:r>
      <w:r>
        <w:rPr>
          <w:rFonts w:hint="eastAsia" w:ascii="仿宋" w:hAnsi="仿宋" w:eastAsia="仿宋" w:cs="仿宋"/>
          <w:b w:val="0"/>
          <w:bCs w:val="0"/>
          <w:sz w:val="32"/>
          <w:szCs w:val="32"/>
          <w:u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 xml:space="preserve">                                    2022年11月</w:t>
      </w:r>
      <w:r>
        <w:rPr>
          <w:rFonts w:hint="eastAsia" w:ascii="仿宋" w:hAnsi="仿宋" w:eastAsia="仿宋" w:cs="仿宋"/>
          <w:b w:val="0"/>
          <w:bCs w:val="0"/>
          <w:color w:val="auto"/>
          <w:sz w:val="32"/>
          <w:szCs w:val="32"/>
          <w:u w:val="none"/>
          <w:lang w:val="en-US" w:eastAsia="zh-CN"/>
        </w:rPr>
        <w:t>11</w:t>
      </w:r>
      <w:r>
        <w:rPr>
          <w:rFonts w:hint="eastAsia" w:ascii="仿宋" w:hAnsi="仿宋" w:eastAsia="仿宋" w:cs="仿宋"/>
          <w:b w:val="0"/>
          <w:bCs w:val="0"/>
          <w:sz w:val="32"/>
          <w:szCs w:val="32"/>
          <w:u w:val="none"/>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b w:val="0"/>
          <w:bCs w:val="0"/>
          <w:sz w:val="32"/>
          <w:szCs w:val="32"/>
          <w:u w:val="none"/>
          <w:lang w:val="en-US" w:eastAsia="zh-CN"/>
        </w:rPr>
      </w:pPr>
      <w:r>
        <w:rPr>
          <w:rFonts w:hint="eastAsia" w:ascii="黑体" w:hAnsi="黑体" w:eastAsia="黑体" w:cs="黑体"/>
          <w:b w:val="0"/>
          <w:bCs w:val="0"/>
          <w:sz w:val="32"/>
          <w:szCs w:val="32"/>
          <w:u w:val="none"/>
          <w:lang w:val="en-US" w:eastAsia="zh-CN"/>
        </w:rPr>
        <w:t>（药品监督管理部门将依法向社会公示本行政处罚决定信息）</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b w:val="0"/>
          <w:bCs w:val="0"/>
          <w:sz w:val="24"/>
          <w:szCs w:val="24"/>
          <w:u w:val="none"/>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29210</wp:posOffset>
                </wp:positionV>
                <wp:extent cx="5681345" cy="8890"/>
                <wp:effectExtent l="0" t="0" r="0" b="0"/>
                <wp:wrapNone/>
                <wp:docPr id="1" name="直接连接符 1"/>
                <wp:cNvGraphicFramePr/>
                <a:graphic xmlns:a="http://schemas.openxmlformats.org/drawingml/2006/main">
                  <a:graphicData uri="http://schemas.microsoft.com/office/word/2010/wordprocessingShape">
                    <wps:wsp>
                      <wps:cNvCnPr/>
                      <wps:spPr>
                        <a:xfrm flipV="true">
                          <a:off x="1097280" y="7673340"/>
                          <a:ext cx="5681345" cy="889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25pt;margin-top:2.3pt;height:0.7pt;width:447.35pt;z-index:251660288;mso-width-relative:page;mso-height-relative:page;" filled="f" stroked="t" coordsize="21600,21600" o:gfxdata="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T9dThtUAAAAGAQAADwAAAAAAAAABACAAAAA4AAAAZHJzL2Rvd25yZXYueG1sUEsB&#10;AhQAFAAAAAgAh07iQLabTRjiAQAAgAMAAA4AAAAAAAAAAQAgAAAAOgEAAGRycy9lMm9Eb2MueG1s&#10;UEsFBgAAAAAGAAYAWQEAAI4FAAAAAA==&#10;">
                <v:fill on="f" focussize="0,0"/>
                <v:stroke weight="1.5pt" color="#000000 [3213]" miterlimit="8" joinstyle="miter"/>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vv85HXAAAACgEAAA8AAAAAAAAAAQAgAAAAOAAAAGRycy9kb3ducmV2LnhtbFBLAQIUABQA&#10;AAAIAIdO4kCuYTgP2wEAAJsDAAAOAAAAAAAAAAEAIAAAADwBAABkcnMvZTJvRG9jLnhtbFBLBQYA&#10;AAAABgAGAFkBAACJ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三</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rPr>
        <w:t>份送达，</w:t>
      </w:r>
      <w:r>
        <w:rPr>
          <w:rFonts w:hint="eastAsia" w:ascii="Times New Roman" w:hAnsi="Times New Roman" w:eastAsia="仿宋_GB2312" w:cs="仿宋"/>
          <w:color w:val="000000"/>
          <w:sz w:val="32"/>
          <w:szCs w:val="32"/>
          <w:u w:val="single"/>
        </w:rPr>
        <w:t>一</w:t>
      </w:r>
      <w:r>
        <w:rPr>
          <w:rFonts w:hint="eastAsia" w:ascii="Times New Roman" w:hAnsi="Times New Roman" w:eastAsia="仿宋_GB2312" w:cs="仿宋"/>
          <w:color w:val="000000"/>
          <w:sz w:val="32"/>
          <w:szCs w:val="32"/>
        </w:rPr>
        <w:t>份归档，</w:t>
      </w:r>
      <w:r>
        <w:rPr>
          <w:rFonts w:hint="eastAsia" w:ascii="Times New Roman" w:hAnsi="Times New Roman" w:eastAsia="仿宋_GB2312" w:cs="仿宋"/>
          <w:color w:val="000000"/>
          <w:sz w:val="32"/>
          <w:szCs w:val="32"/>
          <w:u w:val="none"/>
        </w:rPr>
        <w:t xml:space="preserve"> </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u w:val="none"/>
          <w:lang w:eastAsia="zh-CN"/>
        </w:rPr>
        <w:t>份留底</w:t>
      </w:r>
      <w:r>
        <w:rPr>
          <w:rFonts w:hint="eastAsia" w:ascii="Times New Roman" w:hAnsi="Times New Roman" w:eastAsia="仿宋_GB2312" w:cs="仿宋"/>
          <w:color w:val="000000"/>
          <w:sz w:val="32"/>
          <w:szCs w:val="32"/>
        </w:rPr>
        <w:t>。</w:t>
      </w:r>
    </w:p>
    <w:sectPr>
      <w:footerReference r:id="rId3" w:type="default"/>
      <w:pgSz w:w="11906" w:h="16838"/>
      <w:pgMar w:top="2098" w:right="1474" w:bottom="1984" w:left="1587" w:header="851" w:footer="992" w:gutter="0"/>
      <w:pgNumType w:fmt="decimal"/>
      <w:cols w:space="0" w:num="1"/>
      <w:rtlGutter w:val="0"/>
      <w:docGrid w:type="linesAndChars" w:linePitch="289" w:charSpace="22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6</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6</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HorizontalSpacing w:val="111"/>
  <w:drawingGridVerticalSpacing w:val="14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02BD7"/>
    <w:rsid w:val="004B0626"/>
    <w:rsid w:val="01211348"/>
    <w:rsid w:val="01283A8A"/>
    <w:rsid w:val="01C26B60"/>
    <w:rsid w:val="01E16CB3"/>
    <w:rsid w:val="02AE7880"/>
    <w:rsid w:val="02B80CC8"/>
    <w:rsid w:val="04467AFD"/>
    <w:rsid w:val="06861136"/>
    <w:rsid w:val="07234B0E"/>
    <w:rsid w:val="074C6CE7"/>
    <w:rsid w:val="08A72C15"/>
    <w:rsid w:val="09BA3057"/>
    <w:rsid w:val="0A03729A"/>
    <w:rsid w:val="0C4F3930"/>
    <w:rsid w:val="0CC7487E"/>
    <w:rsid w:val="0D071397"/>
    <w:rsid w:val="0D0A4234"/>
    <w:rsid w:val="0DAD283D"/>
    <w:rsid w:val="0FDD4776"/>
    <w:rsid w:val="122C2C51"/>
    <w:rsid w:val="13BA7CF1"/>
    <w:rsid w:val="153A2B84"/>
    <w:rsid w:val="16280ADA"/>
    <w:rsid w:val="17790F19"/>
    <w:rsid w:val="17D72156"/>
    <w:rsid w:val="19A05D17"/>
    <w:rsid w:val="1A4A07BB"/>
    <w:rsid w:val="1A614BFE"/>
    <w:rsid w:val="1AB07A5A"/>
    <w:rsid w:val="1BF427A7"/>
    <w:rsid w:val="1D312A67"/>
    <w:rsid w:val="1D785941"/>
    <w:rsid w:val="1D9A2236"/>
    <w:rsid w:val="1ED95962"/>
    <w:rsid w:val="1F7E2D68"/>
    <w:rsid w:val="1F8C0992"/>
    <w:rsid w:val="1FFFD72C"/>
    <w:rsid w:val="234A76C1"/>
    <w:rsid w:val="23B11F26"/>
    <w:rsid w:val="240A2BE1"/>
    <w:rsid w:val="24567FA5"/>
    <w:rsid w:val="25C25ABF"/>
    <w:rsid w:val="27761A90"/>
    <w:rsid w:val="2814305F"/>
    <w:rsid w:val="2B302B92"/>
    <w:rsid w:val="2BBA451A"/>
    <w:rsid w:val="2BCA1BD8"/>
    <w:rsid w:val="2BCE0C18"/>
    <w:rsid w:val="2DB1343A"/>
    <w:rsid w:val="2DD17C79"/>
    <w:rsid w:val="2E2B11AE"/>
    <w:rsid w:val="2EE02BD7"/>
    <w:rsid w:val="30006B77"/>
    <w:rsid w:val="32B630F7"/>
    <w:rsid w:val="32E331F9"/>
    <w:rsid w:val="35B75EF0"/>
    <w:rsid w:val="35D4032A"/>
    <w:rsid w:val="3610509D"/>
    <w:rsid w:val="36C12A58"/>
    <w:rsid w:val="37CB0DFF"/>
    <w:rsid w:val="37DBD832"/>
    <w:rsid w:val="3A956312"/>
    <w:rsid w:val="3B6C35CC"/>
    <w:rsid w:val="3CAF761D"/>
    <w:rsid w:val="3CDD75B2"/>
    <w:rsid w:val="3DD12613"/>
    <w:rsid w:val="3F569B7F"/>
    <w:rsid w:val="3F657A40"/>
    <w:rsid w:val="3F9EF29C"/>
    <w:rsid w:val="41D227C5"/>
    <w:rsid w:val="42C72F56"/>
    <w:rsid w:val="44171C9F"/>
    <w:rsid w:val="44C66A69"/>
    <w:rsid w:val="45694BA5"/>
    <w:rsid w:val="479E54F9"/>
    <w:rsid w:val="48C356E3"/>
    <w:rsid w:val="496356E9"/>
    <w:rsid w:val="4BFE0C29"/>
    <w:rsid w:val="4BFE3402"/>
    <w:rsid w:val="4CA17D49"/>
    <w:rsid w:val="4CDF4ADC"/>
    <w:rsid w:val="4FC1421C"/>
    <w:rsid w:val="50165435"/>
    <w:rsid w:val="51CE096B"/>
    <w:rsid w:val="53A07F19"/>
    <w:rsid w:val="53F339B6"/>
    <w:rsid w:val="57AF35AA"/>
    <w:rsid w:val="57AF6F70"/>
    <w:rsid w:val="57B224AA"/>
    <w:rsid w:val="5A7F36F8"/>
    <w:rsid w:val="5ABB5486"/>
    <w:rsid w:val="5ADA6F82"/>
    <w:rsid w:val="5B95462A"/>
    <w:rsid w:val="5BE046AA"/>
    <w:rsid w:val="5BFFC2AA"/>
    <w:rsid w:val="5CAE5E05"/>
    <w:rsid w:val="5CBB67FC"/>
    <w:rsid w:val="5ED736D7"/>
    <w:rsid w:val="5EF91E4A"/>
    <w:rsid w:val="5F26651E"/>
    <w:rsid w:val="5FEE528B"/>
    <w:rsid w:val="5FFF9CCF"/>
    <w:rsid w:val="61F82039"/>
    <w:rsid w:val="635C1BED"/>
    <w:rsid w:val="63620474"/>
    <w:rsid w:val="63F418CB"/>
    <w:rsid w:val="641401EF"/>
    <w:rsid w:val="64F75DED"/>
    <w:rsid w:val="66ED17A8"/>
    <w:rsid w:val="67147E51"/>
    <w:rsid w:val="67BF5877"/>
    <w:rsid w:val="684D3FEB"/>
    <w:rsid w:val="69BB5A2C"/>
    <w:rsid w:val="69DD7EEA"/>
    <w:rsid w:val="6A0C5356"/>
    <w:rsid w:val="6B5C4B98"/>
    <w:rsid w:val="6B5D2C91"/>
    <w:rsid w:val="6B5F8F28"/>
    <w:rsid w:val="6B625A68"/>
    <w:rsid w:val="6C2573F8"/>
    <w:rsid w:val="6C6A4C67"/>
    <w:rsid w:val="6D56105E"/>
    <w:rsid w:val="6E094B0F"/>
    <w:rsid w:val="6E0D061D"/>
    <w:rsid w:val="6F8F6808"/>
    <w:rsid w:val="6FCFD452"/>
    <w:rsid w:val="6FFFF68A"/>
    <w:rsid w:val="706E396F"/>
    <w:rsid w:val="70BE4B1F"/>
    <w:rsid w:val="71FFEE3A"/>
    <w:rsid w:val="72C84B16"/>
    <w:rsid w:val="736E1BF5"/>
    <w:rsid w:val="741E2630"/>
    <w:rsid w:val="74813D6C"/>
    <w:rsid w:val="75254AEA"/>
    <w:rsid w:val="769876C4"/>
    <w:rsid w:val="76A15221"/>
    <w:rsid w:val="77993957"/>
    <w:rsid w:val="77FEE1A9"/>
    <w:rsid w:val="784F31B8"/>
    <w:rsid w:val="7919435A"/>
    <w:rsid w:val="7C0947B1"/>
    <w:rsid w:val="7D032331"/>
    <w:rsid w:val="7D1568ED"/>
    <w:rsid w:val="7D6701E6"/>
    <w:rsid w:val="7D9B1FC1"/>
    <w:rsid w:val="7DBBDE90"/>
    <w:rsid w:val="7F77241E"/>
    <w:rsid w:val="7F7F48C5"/>
    <w:rsid w:val="7F9E1216"/>
    <w:rsid w:val="8AEFD1F3"/>
    <w:rsid w:val="9CFF543C"/>
    <w:rsid w:val="9FF7EEC1"/>
    <w:rsid w:val="ADFB7369"/>
    <w:rsid w:val="AFFD3446"/>
    <w:rsid w:val="BB1518B5"/>
    <w:rsid w:val="BBED7EB2"/>
    <w:rsid w:val="BE2F9D1E"/>
    <w:rsid w:val="BFEF36C6"/>
    <w:rsid w:val="CEC38C20"/>
    <w:rsid w:val="D62914C4"/>
    <w:rsid w:val="D9CBD4C3"/>
    <w:rsid w:val="DD4F3AC9"/>
    <w:rsid w:val="DFAD004E"/>
    <w:rsid w:val="DFFF11B3"/>
    <w:rsid w:val="E37CB77E"/>
    <w:rsid w:val="E7F33C5E"/>
    <w:rsid w:val="F7AF98C9"/>
    <w:rsid w:val="FAC75F39"/>
    <w:rsid w:val="FAF7321F"/>
    <w:rsid w:val="FBAB9A2B"/>
    <w:rsid w:val="FBCF933F"/>
    <w:rsid w:val="FBFB8F60"/>
    <w:rsid w:val="FBFCDEB4"/>
    <w:rsid w:val="FEFEF71F"/>
    <w:rsid w:val="FEFF91BD"/>
    <w:rsid w:val="FFD73B41"/>
    <w:rsid w:val="FFFDC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220"/>
    </w:pPr>
    <w:rPr>
      <w:rFonts w:ascii="宋体" w:eastAsia="宋体"/>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2019-10-01T00:56:00Z</dcterms:created>
  <dc:creator>林振顺</dc:creator>
  <cp:lastModifiedBy>孙水冰</cp:lastModifiedBy>
  <cp:lastPrinted>2019-10-19T07:21:00Z</cp:lastPrinted>
  <dcterms:modified xsi:type="dcterms:W3CDTF">2022-11-08T09:21:26Z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57B632161EC34E708050D70C5AD59713</vt:lpwstr>
  </property>
</Properties>
</file>