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caps w:val="0"/>
          <w:color w:val="000000"/>
          <w:spacing w:val="0"/>
          <w:kern w:val="0"/>
          <w:sz w:val="32"/>
          <w:szCs w:val="32"/>
          <w:highlight w:val="none"/>
          <w:shd w:val="clear" w:color="auto" w:fill="FFFFFF"/>
          <w:lang w:val="en-US" w:eastAsia="zh-CN" w:bidi="ar"/>
        </w:rPr>
      </w:pPr>
      <w:bookmarkStart w:id="0" w:name="_GoBack"/>
      <w:bookmarkEnd w:id="0"/>
      <w:r>
        <w:rPr>
          <w:rFonts w:hint="eastAsia" w:ascii="黑体" w:hAnsi="黑体" w:eastAsia="黑体" w:cs="黑体"/>
          <w:i w:val="0"/>
          <w:caps w:val="0"/>
          <w:color w:val="000000"/>
          <w:spacing w:val="0"/>
          <w:kern w:val="0"/>
          <w:sz w:val="32"/>
          <w:szCs w:val="32"/>
          <w:highlight w:val="none"/>
          <w:shd w:val="clear" w:color="auto" w:fill="FFFFFF"/>
          <w:lang w:val="en-US" w:eastAsia="zh-CN" w:bidi="ar"/>
        </w:rPr>
        <w:t>附件</w:t>
      </w:r>
    </w:p>
    <w:p>
      <w:pPr>
        <w:jc w:val="center"/>
        <w:rPr>
          <w:rFonts w:hint="eastAsia" w:ascii="方正小标宋简体" w:hAnsi="方正小标宋简体" w:eastAsia="方正小标宋简体" w:cs="方正小标宋简体"/>
          <w:i w:val="0"/>
          <w:caps w:val="0"/>
          <w:color w:val="000000"/>
          <w:spacing w:val="0"/>
          <w:kern w:val="0"/>
          <w:sz w:val="32"/>
          <w:szCs w:val="32"/>
          <w:highlight w:val="none"/>
          <w:shd w:val="clear" w:color="auto" w:fill="FFFFFF"/>
          <w:lang w:val="en-US" w:eastAsia="zh-CN" w:bidi="ar"/>
        </w:rPr>
      </w:pPr>
      <w:r>
        <w:rPr>
          <w:rFonts w:hint="eastAsia" w:ascii="方正小标宋简体" w:hAnsi="方正小标宋简体" w:eastAsia="方正小标宋简体" w:cs="方正小标宋简体"/>
          <w:i w:val="0"/>
          <w:caps w:val="0"/>
          <w:color w:val="000000"/>
          <w:spacing w:val="0"/>
          <w:kern w:val="0"/>
          <w:sz w:val="32"/>
          <w:szCs w:val="32"/>
          <w:highlight w:val="none"/>
          <w:shd w:val="clear" w:color="auto" w:fill="FFFFFF"/>
          <w:lang w:val="en-US" w:eastAsia="zh-CN" w:bidi="ar"/>
        </w:rPr>
        <w:t>医疗器械临床试验监督抽查单位名单</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i w:val="0"/>
          <w:caps w:val="0"/>
          <w:color w:val="000000"/>
          <w:spacing w:val="0"/>
          <w:kern w:val="0"/>
          <w:sz w:val="32"/>
          <w:szCs w:val="32"/>
          <w:highlight w:val="none"/>
          <w:shd w:val="clear" w:color="auto" w:fill="FFFFFF"/>
          <w:lang w:val="en-US" w:eastAsia="zh-CN" w:bidi="ar"/>
        </w:rPr>
      </w:pPr>
    </w:p>
    <w:tbl>
      <w:tblPr>
        <w:tblStyle w:val="4"/>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415"/>
        <w:gridCol w:w="3015"/>
        <w:gridCol w:w="3349"/>
        <w:gridCol w:w="30"/>
        <w:gridCol w:w="2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jc w:val="center"/>
        </w:trPr>
        <w:tc>
          <w:tcPr>
            <w:tcW w:w="670" w:type="dxa"/>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t>类型</w:t>
            </w: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序号</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临床机构</w:t>
            </w:r>
          </w:p>
        </w:tc>
        <w:tc>
          <w:tcPr>
            <w:tcW w:w="334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注册品种</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 xml:space="preserve">生产企业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20"/>
                <w:kern w:val="44"/>
                <w:sz w:val="24"/>
                <w:szCs w:val="24"/>
                <w:shd w:val="clear" w:color="auto" w:fill="auto"/>
                <w:lang w:val="en-US" w:eastAsia="zh-CN" w:bidi="ar-SA"/>
              </w:rPr>
              <w:t>Ⅱ类</w:t>
            </w: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福建省肿瘤医院</w:t>
            </w:r>
          </w:p>
        </w:tc>
        <w:tc>
          <w:tcPr>
            <w:tcW w:w="3349" w:type="dxa"/>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钙卫蛋白检测试剂盒（胶体金法）</w:t>
            </w:r>
          </w:p>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2、转铁蛋白检测试剂盒（胶体金法）</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厦门信道生物技术有限公司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漳州市医院</w:t>
            </w:r>
          </w:p>
        </w:tc>
        <w:tc>
          <w:tcPr>
            <w:tcW w:w="3349" w:type="dxa"/>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1、钙卫蛋白检测试剂盒（胶体金法）</w:t>
            </w:r>
          </w:p>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2、转铁蛋白检测试剂盒（胶体金法）</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厦门信道生物技术有限公司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福建医科大学附属协和医院</w:t>
            </w:r>
          </w:p>
        </w:tc>
        <w:tc>
          <w:tcPr>
            <w:tcW w:w="3349" w:type="dxa"/>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right="0" w:rightChars="0" w:firstLine="0" w:firstLineChars="0"/>
              <w:jc w:val="left"/>
              <w:textAlignment w:val="center"/>
              <w:outlineLvl w:val="9"/>
              <w:rPr>
                <w:rFonts w:hint="default"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lang w:val="en-US" w:eastAsia="zh-CN"/>
              </w:rPr>
              <w:t>1、胎儿纤维连接蛋白（fFN）（胶体金法）</w:t>
            </w:r>
          </w:p>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20"/>
                <w:sz w:val="24"/>
                <w:szCs w:val="24"/>
                <w:lang w:val="en-US" w:eastAsia="zh-CN"/>
              </w:rPr>
              <w:t>2、</w:t>
            </w:r>
            <w:r>
              <w:rPr>
                <w:rFonts w:hint="default" w:ascii="仿宋_GB2312" w:hAnsi="仿宋_GB2312" w:eastAsia="仿宋_GB2312" w:cs="仿宋_GB2312"/>
                <w:color w:val="auto"/>
                <w:spacing w:val="-20"/>
                <w:sz w:val="24"/>
                <w:szCs w:val="24"/>
                <w:lang w:val="en-US" w:eastAsia="zh-CN"/>
              </w:rPr>
              <w:t>胰岛素样生长因子结合蛋白-1（IGFBP-1）测定试剂盒（胶体金法）</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厦门信德科创生物科技有限公司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厦门大学附属中山医院</w:t>
            </w:r>
          </w:p>
        </w:tc>
        <w:tc>
          <w:tcPr>
            <w:tcW w:w="3349" w:type="dxa"/>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eastAsia"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20"/>
                <w:sz w:val="24"/>
                <w:szCs w:val="24"/>
                <w:lang w:val="en-US" w:eastAsia="zh-CN"/>
              </w:rPr>
              <w:t>1、胎儿纤维连接蛋白（fFN）（胶体金法）</w:t>
            </w:r>
          </w:p>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2、一次性使用末梢采血器</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color w:val="auto"/>
                <w:spacing w:val="-6"/>
                <w:sz w:val="24"/>
                <w:szCs w:val="24"/>
                <w:lang w:val="en-US" w:eastAsia="zh-CN"/>
              </w:rPr>
            </w:pPr>
            <w:r>
              <w:rPr>
                <w:rFonts w:hint="eastAsia" w:ascii="仿宋_GB2312" w:hAnsi="仿宋_GB2312" w:eastAsia="仿宋_GB2312" w:cs="仿宋_GB2312"/>
                <w:color w:val="auto"/>
                <w:spacing w:val="-6"/>
                <w:sz w:val="24"/>
                <w:szCs w:val="24"/>
                <w:lang w:val="en-US" w:eastAsia="zh-CN"/>
              </w:rPr>
              <w:t>厦门信德科创生物科技有限公司</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40" w:lineRule="exact"/>
              <w:ind w:left="0" w:leftChars="0" w:right="0" w:rightChars="0" w:firstLine="0" w:firstLineChars="0"/>
              <w:jc w:val="both"/>
              <w:textAlignment w:val="center"/>
              <w:outlineLvl w:val="9"/>
              <w:rPr>
                <w:rFonts w:hint="default" w:ascii="仿宋_GB2312" w:hAnsi="仿宋_GB2312" w:eastAsia="仿宋_GB2312" w:cs="仿宋_GB2312"/>
                <w:color w:val="auto"/>
                <w:spacing w:val="-20"/>
                <w:sz w:val="24"/>
                <w:szCs w:val="24"/>
                <w:lang w:val="en-US" w:eastAsia="zh-CN"/>
              </w:rPr>
            </w:pPr>
            <w:r>
              <w:rPr>
                <w:rFonts w:hint="eastAsia" w:ascii="仿宋_GB2312" w:hAnsi="仿宋_GB2312" w:eastAsia="仿宋_GB2312" w:cs="仿宋_GB2312"/>
                <w:color w:val="auto"/>
                <w:spacing w:val="-6"/>
                <w:sz w:val="24"/>
                <w:szCs w:val="24"/>
                <w:lang w:val="en-US" w:eastAsia="zh-CN"/>
              </w:rPr>
              <w:t>厦门市联合安金科技有限公司</w:t>
            </w:r>
          </w:p>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color w:val="auto"/>
                <w:spacing w:val="-6"/>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福建医科大学附属第一医院</w:t>
            </w:r>
          </w:p>
        </w:tc>
        <w:tc>
          <w:tcPr>
            <w:tcW w:w="334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远红外治疗仪</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中宏联（福建）医疗器械有限公司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福建省汀州医院</w:t>
            </w:r>
          </w:p>
        </w:tc>
        <w:tc>
          <w:tcPr>
            <w:tcW w:w="334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远红外治疗仪</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中宏联（福建）医疗器械有限公司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6"/>
                <w:sz w:val="24"/>
                <w:szCs w:val="24"/>
                <w:lang w:val="en-US" w:eastAsia="zh-CN"/>
              </w:rPr>
              <w:t>厦门大学附属第一医院</w:t>
            </w:r>
          </w:p>
        </w:tc>
        <w:tc>
          <w:tcPr>
            <w:tcW w:w="334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一次性使用末梢采血器</w:t>
            </w:r>
          </w:p>
        </w:tc>
        <w:tc>
          <w:tcPr>
            <w:tcW w:w="2101"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auto"/>
                <w:spacing w:val="-6"/>
                <w:sz w:val="24"/>
                <w:szCs w:val="24"/>
                <w:lang w:val="en-US" w:eastAsia="zh-CN"/>
              </w:rPr>
              <w:t>厦门市联合安金科技有限公司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auto"/>
                <w:spacing w:val="-20"/>
                <w:kern w:val="44"/>
                <w:sz w:val="24"/>
                <w:szCs w:val="24"/>
                <w:shd w:val="clear" w:color="auto" w:fill="auto"/>
                <w:lang w:val="en-US" w:eastAsia="zh-CN" w:bidi="ar-SA"/>
              </w:rPr>
              <w:t>Ⅲ类</w:t>
            </w: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000000"/>
                <w:spacing w:val="-6"/>
                <w:sz w:val="24"/>
                <w:szCs w:val="24"/>
                <w:lang w:val="en-US" w:eastAsia="zh-CN"/>
              </w:rPr>
              <w:t>福建省血液中心</w:t>
            </w:r>
          </w:p>
        </w:tc>
        <w:tc>
          <w:tcPr>
            <w:tcW w:w="3379"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人类T淋巴细胞白血病病毒抗体测定试剂盒（化学发光微粒子免疫检测法）</w:t>
            </w:r>
          </w:p>
        </w:tc>
        <w:tc>
          <w:tcPr>
            <w:tcW w:w="207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_GB2312" w:hAnsi="仿宋_GB2312" w:eastAsia="仿宋_GB2312" w:cs="仿宋_GB2312"/>
                <w:color w:val="000000"/>
                <w:spacing w:val="-6"/>
                <w:sz w:val="24"/>
                <w:szCs w:val="24"/>
                <w:lang w:val="en-US" w:eastAsia="zh-CN"/>
              </w:rPr>
            </w:pPr>
            <w:r>
              <w:rPr>
                <w:rFonts w:hint="eastAsia" w:ascii="仿宋_GB2312" w:hAnsi="仿宋_GB2312" w:eastAsia="仿宋_GB2312" w:cs="仿宋_GB2312"/>
                <w:color w:val="000000"/>
                <w:spacing w:val="-6"/>
                <w:sz w:val="24"/>
                <w:szCs w:val="24"/>
                <w:lang w:val="en-US" w:eastAsia="zh-CN"/>
              </w:rPr>
              <w:t>厦门万泰凯瑞生物技术有限公司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000000"/>
                <w:spacing w:val="-6"/>
                <w:sz w:val="24"/>
                <w:szCs w:val="24"/>
                <w:lang w:val="en-US" w:eastAsia="zh-CN"/>
              </w:rPr>
              <w:t>福建省肿瘤医院</w:t>
            </w:r>
          </w:p>
        </w:tc>
        <w:tc>
          <w:tcPr>
            <w:tcW w:w="3379"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000000"/>
                <w:spacing w:val="-6"/>
                <w:sz w:val="24"/>
                <w:szCs w:val="24"/>
                <w:lang w:val="en-US" w:eastAsia="zh-CN"/>
              </w:rPr>
              <w:t>人类K-ras基因突变检测试剂盒（多重荧光PCR法）验证试验</w:t>
            </w:r>
          </w:p>
        </w:tc>
        <w:tc>
          <w:tcPr>
            <w:tcW w:w="207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000000"/>
                <w:spacing w:val="-6"/>
                <w:sz w:val="24"/>
                <w:szCs w:val="24"/>
                <w:lang w:val="en-US" w:eastAsia="zh-CN"/>
              </w:rPr>
              <w:t>厦门飞朔生物技术有限公司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000000"/>
                <w:spacing w:val="-6"/>
                <w:sz w:val="24"/>
                <w:szCs w:val="24"/>
                <w:lang w:val="en-US" w:eastAsia="zh-CN"/>
              </w:rPr>
              <w:t>福建医科大学附属第一医院</w:t>
            </w:r>
          </w:p>
        </w:tc>
        <w:tc>
          <w:tcPr>
            <w:tcW w:w="3379"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000000"/>
                <w:spacing w:val="-6"/>
                <w:sz w:val="24"/>
                <w:szCs w:val="24"/>
                <w:lang w:val="en-US" w:eastAsia="zh-CN"/>
              </w:rPr>
              <w:t xml:space="preserve">颅颌面修补重建系统在颅颌面缺损部位修补重建的安全性和有效性的单组、目标值法、多中心临床试验 </w:t>
            </w:r>
          </w:p>
        </w:tc>
        <w:tc>
          <w:tcPr>
            <w:tcW w:w="207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000000"/>
                <w:spacing w:val="-6"/>
                <w:sz w:val="24"/>
                <w:szCs w:val="24"/>
                <w:lang w:val="en-US" w:eastAsia="zh-CN"/>
              </w:rPr>
              <w:t>大博医疗科技股份有限公司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0" w:type="dxa"/>
            <w:vMerge w:val="continue"/>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val="0"/>
              <w:spacing w:beforeAutospacing="0" w:afterAutospacing="0" w:line="340" w:lineRule="exact"/>
              <w:ind w:left="0" w:leftChars="0" w:right="0" w:rightChars="0" w:firstLine="0" w:firstLineChars="0"/>
              <w:jc w:val="left"/>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p>
        </w:tc>
        <w:tc>
          <w:tcPr>
            <w:tcW w:w="4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center"/>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01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aps w:val="0"/>
                <w:color w:val="000000"/>
                <w:spacing w:val="0"/>
                <w:kern w:val="0"/>
                <w:sz w:val="24"/>
                <w:szCs w:val="24"/>
                <w:highlight w:val="none"/>
                <w:shd w:val="clear" w:color="auto" w:fill="FFFFFF"/>
                <w:vertAlign w:val="baseline"/>
                <w:lang w:val="en-US" w:eastAsia="zh-CN" w:bidi="ar"/>
              </w:rPr>
            </w:pPr>
            <w:r>
              <w:rPr>
                <w:rFonts w:hint="eastAsia" w:ascii="仿宋_GB2312" w:hAnsi="仿宋_GB2312" w:eastAsia="仿宋_GB2312" w:cs="仿宋_GB2312"/>
                <w:color w:val="000000"/>
                <w:spacing w:val="-6"/>
                <w:sz w:val="24"/>
                <w:szCs w:val="24"/>
                <w:lang w:val="en-US" w:eastAsia="zh-CN"/>
              </w:rPr>
              <w:t>福建医科大学附属协和医院</w:t>
            </w:r>
          </w:p>
        </w:tc>
        <w:tc>
          <w:tcPr>
            <w:tcW w:w="3379" w:type="dxa"/>
            <w:gridSpan w:val="2"/>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000000"/>
                <w:spacing w:val="-6"/>
                <w:sz w:val="24"/>
                <w:szCs w:val="24"/>
                <w:lang w:val="en-US" w:eastAsia="zh-CN"/>
              </w:rPr>
              <w:t>人类IDH1/IDH2突变基因联合检测试剂盒（荧光PCR法）临床试验</w:t>
            </w:r>
          </w:p>
        </w:tc>
        <w:tc>
          <w:tcPr>
            <w:tcW w:w="2071"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val="0"/>
              <w:spacing w:line="340" w:lineRule="exact"/>
              <w:ind w:left="0" w:leftChars="0" w:right="0" w:rightChars="0" w:firstLine="0" w:firstLineChars="0"/>
              <w:jc w:val="left"/>
              <w:textAlignment w:val="center"/>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_GB2312" w:hAnsi="仿宋_GB2312" w:eastAsia="仿宋_GB2312" w:cs="仿宋_GB2312"/>
                <w:color w:val="000000"/>
                <w:spacing w:val="-6"/>
                <w:sz w:val="24"/>
                <w:szCs w:val="24"/>
                <w:lang w:val="en-US" w:eastAsia="zh-CN"/>
              </w:rPr>
              <w:t>厦门艾德生物医药科技股份有限公司</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2010601030101010101"/>
    <w:charset w:val="86"/>
    <w:family w:val="script"/>
    <w:pitch w:val="default"/>
    <w:sig w:usb0="00000000" w:usb1="00000000" w:usb2="00000000" w:usb3="00000000" w:csb0="00040000" w:csb1="00000000"/>
  </w:font>
  <w:font w:name="方正大黑简体">
    <w:altName w:val="黑体"/>
    <w:panose1 w:val="03000509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华文行楷">
    <w:altName w:val="微软雅黑"/>
    <w:panose1 w:val="02010800040101010101"/>
    <w:charset w:val="86"/>
    <w:family w:val="auto"/>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Calibri">
    <w:panose1 w:val="020F0502020204030204"/>
    <w:charset w:val="01"/>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仿宋_GBK">
    <w:altName w:val="宋体"/>
    <w:panose1 w:val="03000509000000000000"/>
    <w:charset w:val="86"/>
    <w:family w:val="script"/>
    <w:pitch w:val="default"/>
    <w:sig w:usb0="00000000" w:usb1="00000000" w:usb2="00000010" w:usb3="00000000" w:csb0="003C004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A6E03"/>
    <w:multiLevelType w:val="singleLevel"/>
    <w:tmpl w:val="5F9A6E0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Time" w:val="2021-01-15 15:13:51"/>
    <w:docVar w:name="SessionId" w:val="DomAuthSessId=8BCDD43CA368186CC003D01429E3E0E2"/>
  </w:docVars>
  <w:rsids>
    <w:rsidRoot w:val="0822546A"/>
    <w:rsid w:val="043A75DA"/>
    <w:rsid w:val="0822546A"/>
    <w:rsid w:val="0DAF6483"/>
    <w:rsid w:val="1698368B"/>
    <w:rsid w:val="175C666A"/>
    <w:rsid w:val="24526288"/>
    <w:rsid w:val="2BE51B7E"/>
    <w:rsid w:val="3A582BB1"/>
    <w:rsid w:val="45DC47DE"/>
    <w:rsid w:val="46E650DD"/>
    <w:rsid w:val="61F364B4"/>
    <w:rsid w:val="6A9E2F7E"/>
    <w:rsid w:val="6D5B41F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2021-01-15T07:13:00Z</dcterms:created>
  <dc:creator>薛菡/fjfda</dc:creator>
  <cp:lastModifiedBy>唐淑珍/fjfda</cp:lastModifiedBy>
  <dcterms:modified xsi:type="dcterms:W3CDTF">2021-01-21T03:26:43Z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